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910D" w14:textId="77777777" w:rsidR="00004876" w:rsidRPr="00002FD4" w:rsidRDefault="00004876" w:rsidP="00004876">
      <w:pPr>
        <w:jc w:val="center"/>
        <w:rPr>
          <w:rFonts w:ascii="Arial" w:hAnsi="Arial" w:cs="Arial"/>
          <w:b/>
          <w:bCs/>
          <w:sz w:val="20"/>
        </w:rPr>
      </w:pPr>
      <w:r w:rsidRPr="009666AE">
        <w:rPr>
          <w:noProof/>
          <w:sz w:val="20"/>
          <w:lang w:eastAsia="fr-CA"/>
        </w:rPr>
        <w:drawing>
          <wp:inline distT="0" distB="0" distL="0" distR="0" wp14:anchorId="79779340" wp14:editId="7B58EAF8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</w:rPr>
        <w:t xml:space="preserve">          </w:t>
      </w:r>
      <w:r w:rsidRPr="00002FD4">
        <w:rPr>
          <w:b/>
          <w:bCs/>
          <w:sz w:val="28"/>
          <w:szCs w:val="28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</w:rPr>
        <w:t xml:space="preserve"> </w:t>
      </w:r>
      <w:r w:rsidRPr="009666AE">
        <w:rPr>
          <w:b/>
          <w:bCs/>
          <w:noProof/>
          <w:sz w:val="20"/>
          <w:lang w:eastAsia="fr-CA"/>
        </w:rPr>
        <w:drawing>
          <wp:inline distT="0" distB="0" distL="0" distR="0" wp14:anchorId="1D3B1B84" wp14:editId="7F9B4E52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973F1" w14:textId="77777777" w:rsidR="00004876" w:rsidRPr="00684024" w:rsidRDefault="00004876" w:rsidP="0000487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2DA1C4AF" w14:textId="77777777" w:rsidR="00004876" w:rsidRPr="00684024" w:rsidRDefault="00004876" w:rsidP="0000487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32034923" w14:textId="77777777" w:rsidR="00004876" w:rsidRPr="00684024" w:rsidRDefault="00004876" w:rsidP="0000487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43199C35" w14:textId="77777777" w:rsidR="00004876" w:rsidRDefault="00004876" w:rsidP="0000487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488A6496" w14:textId="77777777" w:rsidR="00004876" w:rsidRPr="00002FD4" w:rsidRDefault="00004876" w:rsidP="00004876">
      <w:pPr>
        <w:rPr>
          <w:b/>
          <w:sz w:val="16"/>
          <w:szCs w:val="16"/>
        </w:rPr>
      </w:pPr>
    </w:p>
    <w:p w14:paraId="0041A557" w14:textId="77777777" w:rsidR="00004876" w:rsidRDefault="00004876" w:rsidP="0000487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71709BB9" w14:textId="77777777" w:rsidR="00004876" w:rsidRPr="007C27EE" w:rsidRDefault="00004876" w:rsidP="00004876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  <w:lang w:val="fr-CA"/>
        </w:rPr>
      </w:pP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004876" w:rsidRPr="007C27EE" w14:paraId="2E9490AC" w14:textId="77777777" w:rsidTr="004B2A19">
        <w:trPr>
          <w:trHeight w:val="365"/>
        </w:trPr>
        <w:tc>
          <w:tcPr>
            <w:tcW w:w="2019" w:type="dxa"/>
          </w:tcPr>
          <w:p w14:paraId="591A739C" w14:textId="7E5FCEAB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66D20F5F" w14:textId="47EAFC65" w:rsidR="00004876" w:rsidRPr="00004876" w:rsidRDefault="00004876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Politique cadre</w:t>
            </w:r>
          </w:p>
        </w:tc>
        <w:tc>
          <w:tcPr>
            <w:tcW w:w="2767" w:type="dxa"/>
          </w:tcPr>
          <w:p w14:paraId="23A49857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7C74F980" w14:textId="544CC338" w:rsidR="00004876" w:rsidRPr="00004876" w:rsidRDefault="00BD1C2D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PC</w:t>
            </w:r>
            <w:r w:rsidR="00F6209C">
              <w:rPr>
                <w:rFonts w:ascii="Arial Narrow" w:hAnsi="Arial Narrow"/>
                <w:bCs/>
                <w:color w:val="000000" w:themeColor="text1"/>
                <w:sz w:val="20"/>
              </w:rPr>
              <w:t>-05</w:t>
            </w:r>
          </w:p>
        </w:tc>
      </w:tr>
      <w:tr w:rsidR="00004876" w:rsidRPr="007C27EE" w14:paraId="4EB227C7" w14:textId="77777777" w:rsidTr="004B2A19">
        <w:trPr>
          <w:trHeight w:val="622"/>
        </w:trPr>
        <w:tc>
          <w:tcPr>
            <w:tcW w:w="2019" w:type="dxa"/>
          </w:tcPr>
          <w:p w14:paraId="147EE2FD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62D6C8D8" w14:textId="1DB5B59A" w:rsidR="00004876" w:rsidRPr="008D1D0D" w:rsidRDefault="00F6209C" w:rsidP="004B2A19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Déclaration sur le respect et la reconnaissance</w:t>
            </w:r>
          </w:p>
        </w:tc>
        <w:tc>
          <w:tcPr>
            <w:tcW w:w="2767" w:type="dxa"/>
          </w:tcPr>
          <w:p w14:paraId="64E3E480" w14:textId="3D717C01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</w:p>
        </w:tc>
        <w:tc>
          <w:tcPr>
            <w:tcW w:w="1927" w:type="dxa"/>
          </w:tcPr>
          <w:p w14:paraId="15C20122" w14:textId="77777777" w:rsidR="00004876" w:rsidRPr="007C27EE" w:rsidRDefault="0000487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004876" w:rsidRPr="00610062" w14:paraId="2CC7C8A8" w14:textId="77777777" w:rsidTr="004B2A19">
        <w:trPr>
          <w:trHeight w:val="476"/>
        </w:trPr>
        <w:tc>
          <w:tcPr>
            <w:tcW w:w="2019" w:type="dxa"/>
          </w:tcPr>
          <w:p w14:paraId="23ACE080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3A2D54DC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781D44E6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</w:p>
        </w:tc>
        <w:tc>
          <w:tcPr>
            <w:tcW w:w="1927" w:type="dxa"/>
          </w:tcPr>
          <w:p w14:paraId="15E9289D" w14:textId="77777777" w:rsidR="00004876" w:rsidRPr="007C27EE" w:rsidRDefault="0000487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004876" w:rsidRPr="00610062" w14:paraId="2DF46A5A" w14:textId="77777777" w:rsidTr="004B2A19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0769A2A9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A91E7C3" w14:textId="77777777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4A7510C9" w14:textId="1BBAFF32" w:rsidR="00004876" w:rsidRPr="007C27EE" w:rsidRDefault="0000487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811CD0F" w14:textId="77777777" w:rsidR="00004876" w:rsidRPr="007C27EE" w:rsidRDefault="0000487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6F621625" w14:textId="2681F80B" w:rsidR="00F6209C" w:rsidRPr="00F6209C" w:rsidRDefault="00591287" w:rsidP="00F6209C">
      <w:pPr>
        <w:rPr>
          <w:rFonts w:ascii="Arial Narrow" w:hAnsi="Arial Narrow" w:cs="Arial"/>
          <w:b/>
          <w:bCs/>
        </w:rPr>
      </w:pPr>
      <w:r>
        <w:rPr>
          <w:b/>
          <w:sz w:val="28"/>
          <w:szCs w:val="28"/>
        </w:rPr>
        <w:t>NOTE AUX MEMBRES DU C.A. :</w:t>
      </w:r>
      <w:r w:rsidR="00F6209C">
        <w:rPr>
          <w:b/>
          <w:sz w:val="28"/>
          <w:szCs w:val="28"/>
        </w:rPr>
        <w:br/>
      </w:r>
      <w:r w:rsidR="00F6209C" w:rsidRPr="00F6209C">
        <w:rPr>
          <w:b/>
          <w:sz w:val="24"/>
          <w:szCs w:val="24"/>
        </w:rPr>
        <w:t xml:space="preserve">À la lumière des directives de notre Directrice générale, ceci est une nouvelle politique qui est proposée d’être incluse dans les politiques de la Bibliothèque puisque nos recherches confirment que contrairement à des perceptions antérieures, notre région profite bel et bien d’un héritage de la population autochtone de l’Ontario.  En résumé, en plus des Premières Nations, des Métis et des Inuits, les </w:t>
      </w:r>
      <w:proofErr w:type="spellStart"/>
      <w:r w:rsidR="00F6209C" w:rsidRPr="00F6209C">
        <w:rPr>
          <w:b/>
          <w:sz w:val="24"/>
          <w:szCs w:val="24"/>
        </w:rPr>
        <w:t>Anishinabés</w:t>
      </w:r>
      <w:proofErr w:type="spellEnd"/>
      <w:r w:rsidR="00F6209C" w:rsidRPr="00F6209C">
        <w:rPr>
          <w:b/>
          <w:sz w:val="24"/>
          <w:szCs w:val="24"/>
        </w:rPr>
        <w:t xml:space="preserve"> et les Cris de la </w:t>
      </w:r>
      <w:proofErr w:type="spellStart"/>
      <w:r w:rsidR="00F6209C" w:rsidRPr="00F6209C">
        <w:rPr>
          <w:b/>
          <w:sz w:val="24"/>
          <w:szCs w:val="24"/>
        </w:rPr>
        <w:t>Kitchissippi</w:t>
      </w:r>
      <w:proofErr w:type="spellEnd"/>
      <w:r w:rsidR="00F6209C" w:rsidRPr="00F6209C">
        <w:rPr>
          <w:b/>
          <w:sz w:val="24"/>
          <w:szCs w:val="24"/>
        </w:rPr>
        <w:t xml:space="preserve"> campaient autour de l’Outaouais, de la Rivière Nation jusqu’à l’Ile-aux-Allumettes, près de Pembroke.  De plus, les </w:t>
      </w:r>
      <w:proofErr w:type="spellStart"/>
      <w:r w:rsidR="00F6209C" w:rsidRPr="00F6209C">
        <w:rPr>
          <w:b/>
          <w:sz w:val="24"/>
          <w:szCs w:val="24"/>
        </w:rPr>
        <w:t>Wendats</w:t>
      </w:r>
      <w:proofErr w:type="spellEnd"/>
      <w:r w:rsidR="00F6209C" w:rsidRPr="00F6209C">
        <w:rPr>
          <w:b/>
          <w:sz w:val="24"/>
          <w:szCs w:val="24"/>
        </w:rPr>
        <w:t xml:space="preserve"> ont accueilli le premier franco-ontarien, Étienne Brulé.  Pour votre information, cette politique se conforme du fait même aux directives de ‘SOLS’.</w:t>
      </w:r>
      <w:r>
        <w:rPr>
          <w:b/>
          <w:sz w:val="28"/>
          <w:szCs w:val="28"/>
        </w:rPr>
        <w:br/>
      </w:r>
    </w:p>
    <w:p w14:paraId="20F869CD" w14:textId="180F287A" w:rsidR="00F6209C" w:rsidRPr="00E20A75" w:rsidRDefault="00F6209C" w:rsidP="00F6209C">
      <w:pPr>
        <w:rPr>
          <w:rFonts w:ascii="Arial Narrow" w:hAnsi="Arial Narrow"/>
          <w:sz w:val="20"/>
          <w:szCs w:val="20"/>
        </w:rPr>
      </w:pPr>
      <w:r w:rsidRPr="00E20A75">
        <w:rPr>
          <w:rFonts w:ascii="Arial Narrow" w:hAnsi="Arial Narrow"/>
          <w:sz w:val="20"/>
          <w:szCs w:val="20"/>
        </w:rPr>
        <w:t>La Bibliothèque publique de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Casselman</w:t>
      </w:r>
      <w:proofErr w:type="spellEnd"/>
      <w:r w:rsidRPr="00E20A75">
        <w:rPr>
          <w:rFonts w:ascii="Arial Narrow" w:hAnsi="Arial Narrow"/>
          <w:sz w:val="20"/>
          <w:szCs w:val="20"/>
        </w:rPr>
        <w:t xml:space="preserve"> comprend le besoin de reconnaître et d’adopter les principes de vérité et de réconciliation avec la population autochtone de l’Ontario, </w:t>
      </w:r>
      <w:r>
        <w:rPr>
          <w:rFonts w:ascii="Arial Narrow" w:hAnsi="Arial Narrow"/>
          <w:sz w:val="20"/>
          <w:szCs w:val="20"/>
        </w:rPr>
        <w:t xml:space="preserve">tel que souligné </w:t>
      </w:r>
      <w:r w:rsidRPr="00E20A75">
        <w:rPr>
          <w:rFonts w:ascii="Arial Narrow" w:hAnsi="Arial Narrow"/>
          <w:sz w:val="20"/>
          <w:szCs w:val="20"/>
        </w:rPr>
        <w:t xml:space="preserve">dans le Rapport de la Commission de vérité et de réconciliation.  </w:t>
      </w:r>
    </w:p>
    <w:p w14:paraId="108750FB" w14:textId="686505A9" w:rsidR="00F6209C" w:rsidRPr="00E20A75" w:rsidRDefault="00F6209C" w:rsidP="00F6209C">
      <w:pPr>
        <w:rPr>
          <w:rFonts w:ascii="Arial Narrow" w:hAnsi="Arial Narrow" w:cs="Arial"/>
          <w:b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 w:cs="Arial"/>
          <w:b/>
        </w:rPr>
        <w:t>Article</w:t>
      </w:r>
      <w:r w:rsidRPr="00E20A75">
        <w:rPr>
          <w:rFonts w:ascii="Arial Narrow" w:hAnsi="Arial Narrow" w:cs="Arial"/>
          <w:b/>
        </w:rPr>
        <w:t xml:space="preserve"> 1</w:t>
      </w:r>
      <w:r>
        <w:rPr>
          <w:rFonts w:ascii="Arial Narrow" w:hAnsi="Arial Narrow" w:cs="Arial"/>
          <w:b/>
        </w:rPr>
        <w:t> :</w:t>
      </w:r>
      <w:r w:rsidRPr="00E20A75">
        <w:rPr>
          <w:rFonts w:ascii="Arial Narrow" w:hAnsi="Arial Narrow" w:cs="Arial"/>
          <w:b/>
        </w:rPr>
        <w:t xml:space="preserve"> Déclaration</w:t>
      </w:r>
    </w:p>
    <w:p w14:paraId="04A6848E" w14:textId="5A0E3499" w:rsidR="00F6209C" w:rsidRPr="00E20A75" w:rsidRDefault="00F6209C" w:rsidP="00F6209C">
      <w:pPr>
        <w:rPr>
          <w:rFonts w:ascii="Arial Narrow" w:eastAsia="Times New Roman" w:hAnsi="Arial Narrow" w:cs="Helvetica"/>
          <w:color w:val="000000" w:themeColor="text1"/>
          <w:sz w:val="20"/>
          <w:szCs w:val="20"/>
        </w:rPr>
      </w:pPr>
      <w:r w:rsidRPr="00E20A75">
        <w:rPr>
          <w:rFonts w:ascii="Arial Narrow" w:hAnsi="Arial Narrow"/>
          <w:color w:val="000000" w:themeColor="text1"/>
          <w:sz w:val="20"/>
          <w:szCs w:val="20"/>
        </w:rPr>
        <w:t xml:space="preserve">Forte de cette compréhension, la Bibliothèque publique de 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</w:rPr>
        <w:t>Casselman</w:t>
      </w:r>
      <w:proofErr w:type="spellEnd"/>
      <w:r w:rsidRPr="00E20A75">
        <w:rPr>
          <w:rFonts w:ascii="Arial Narrow" w:hAnsi="Arial Narrow"/>
          <w:color w:val="000000" w:themeColor="text1"/>
          <w:sz w:val="20"/>
          <w:szCs w:val="20"/>
        </w:rPr>
        <w:t xml:space="preserve"> reconnaît les Premières Nations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à qui appartiennent les </w:t>
      </w:r>
      <w:r w:rsidRPr="00E20A75">
        <w:rPr>
          <w:rFonts w:ascii="Arial Narrow" w:hAnsi="Arial Narrow"/>
          <w:color w:val="000000" w:themeColor="text1"/>
          <w:sz w:val="20"/>
          <w:szCs w:val="20"/>
        </w:rPr>
        <w:t>territoires traditionnels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où nous</w:t>
      </w:r>
      <w:r w:rsidRPr="00E20A75">
        <w:rPr>
          <w:rFonts w:ascii="Arial Narrow" w:hAnsi="Arial Narrow"/>
          <w:color w:val="000000" w:themeColor="text1"/>
          <w:sz w:val="20"/>
          <w:szCs w:val="20"/>
        </w:rPr>
        <w:t xml:space="preserve"> vivons et travaillons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.  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Nous croyons que 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>la reconnaissance du territoire est en elle-même une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 marque de reconnaissance et de respect 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envers les peuples autochtones. Elle atteste de leur présence tant historique qu’actuelle. 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>Nous croyons que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 la reconnaissance du territoire ne devrait pas être simplement une </w:t>
      </w:r>
      <w:r w:rsidRPr="00E20A75">
        <w:rPr>
          <w:rFonts w:ascii="Arial Narrow" w:eastAsia="Times New Roman" w:hAnsi="Arial Narrow" w:cs="Helvetica"/>
          <w:i/>
          <w:iCs/>
          <w:color w:val="000000" w:themeColor="text1"/>
          <w:sz w:val="20"/>
          <w:szCs w:val="20"/>
        </w:rPr>
        <w:t xml:space="preserve">déclaration faite pour la forme 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avant une assemblée; elle devrait être considérée comme une </w:t>
      </w:r>
      <w:r w:rsidRPr="00E20A75">
        <w:rPr>
          <w:rFonts w:ascii="Arial Narrow" w:eastAsia="Times New Roman" w:hAnsi="Arial Narrow" w:cs="Helvetica"/>
          <w:i/>
          <w:iCs/>
          <w:color w:val="000000" w:themeColor="text1"/>
          <w:sz w:val="20"/>
          <w:szCs w:val="20"/>
        </w:rPr>
        <w:t xml:space="preserve">composante 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>essentielle de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>s activités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. 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>Nous croyons que</w:t>
      </w: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 la reconnaissance et le respect sont indispensables à l’établissement de relations saines et réciproques et à la poursuite du processus de réconciliation.  </w:t>
      </w:r>
    </w:p>
    <w:p w14:paraId="0337DE22" w14:textId="77777777" w:rsidR="00F6209C" w:rsidRPr="00E20A75" w:rsidRDefault="00F6209C" w:rsidP="00F6209C">
      <w:pPr>
        <w:rPr>
          <w:rFonts w:ascii="Arial Narrow" w:eastAsia="Times New Roman" w:hAnsi="Arial Narrow" w:cs="Helvetica"/>
          <w:color w:val="000000" w:themeColor="text1"/>
          <w:sz w:val="20"/>
          <w:szCs w:val="20"/>
        </w:rPr>
      </w:pPr>
    </w:p>
    <w:p w14:paraId="115167B7" w14:textId="0F42CA94" w:rsidR="00F6209C" w:rsidRPr="00F6209C" w:rsidRDefault="00F6209C" w:rsidP="00F6209C">
      <w:pPr>
        <w:rPr>
          <w:rFonts w:ascii="Arial Narrow" w:eastAsia="Times New Roman" w:hAnsi="Arial Narrow" w:cs="Helvetica"/>
          <w:b/>
          <w:bCs/>
          <w:color w:val="000000" w:themeColor="text1"/>
          <w:sz w:val="20"/>
          <w:szCs w:val="20"/>
        </w:rPr>
      </w:pPr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lastRenderedPageBreak/>
        <w:t xml:space="preserve">La Bibliothèque publique de </w:t>
      </w:r>
      <w:proofErr w:type="spellStart"/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>Casselman</w:t>
      </w:r>
      <w:proofErr w:type="spellEnd"/>
      <w:r w:rsidRPr="00E20A75"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 utilisera cette Déclaration de respect et de reconnaissance au début des réunions qui auront lieu à la bibliothèque.</w:t>
      </w:r>
      <w:r>
        <w:rPr>
          <w:rFonts w:ascii="Arial Narrow" w:eastAsia="Times New Roman" w:hAnsi="Arial Narrow" w:cs="Helvetica"/>
          <w:color w:val="000000" w:themeColor="text1"/>
          <w:sz w:val="20"/>
          <w:szCs w:val="20"/>
        </w:rPr>
        <w:t xml:space="preserve"> </w:t>
      </w:r>
    </w:p>
    <w:p w14:paraId="7B049525" w14:textId="77777777" w:rsidR="00F6209C" w:rsidRPr="00E20A75" w:rsidRDefault="00F6209C" w:rsidP="00F6209C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4CC0D257" w14:textId="26302263" w:rsidR="00F6209C" w:rsidRPr="00F6209C" w:rsidRDefault="00F6209C" w:rsidP="00F6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44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« </w:t>
      </w:r>
      <w:r w:rsidRPr="00E20A75">
        <w:rPr>
          <w:rFonts w:ascii="Arial Narrow" w:hAnsi="Arial Narrow"/>
          <w:sz w:val="20"/>
          <w:szCs w:val="20"/>
        </w:rPr>
        <w:t xml:space="preserve">Nous tenons [Je tiens] d’abord à souligner que les terres sur lesquelles nous sommes rassemblés font partie du territoire traditionnel non cédé du peuple </w:t>
      </w:r>
      <w:proofErr w:type="spellStart"/>
      <w:r w:rsidRPr="00E20A75">
        <w:rPr>
          <w:rFonts w:ascii="Arial Narrow" w:hAnsi="Arial Narrow"/>
          <w:sz w:val="20"/>
          <w:szCs w:val="20"/>
        </w:rPr>
        <w:t>anishinabé</w:t>
      </w:r>
      <w:proofErr w:type="spellEnd"/>
      <w:r w:rsidRPr="00E20A75">
        <w:rPr>
          <w:rFonts w:ascii="Arial Narrow" w:hAnsi="Arial Narrow"/>
          <w:sz w:val="20"/>
          <w:szCs w:val="20"/>
        </w:rPr>
        <w:t xml:space="preserve"> algonquin</w:t>
      </w:r>
      <w:r>
        <w:rPr>
          <w:rFonts w:ascii="Arial Narrow" w:hAnsi="Arial Narrow"/>
          <w:sz w:val="20"/>
          <w:szCs w:val="20"/>
        </w:rPr>
        <w:t>. »</w:t>
      </w:r>
      <w:r>
        <w:rPr>
          <w:rFonts w:ascii="Arial Narrow" w:hAnsi="Arial Narrow"/>
          <w:color w:val="000000" w:themeColor="text1"/>
          <w:sz w:val="20"/>
          <w:szCs w:val="20"/>
        </w:rPr>
        <w:br/>
      </w:r>
    </w:p>
    <w:p w14:paraId="1C5235EA" w14:textId="77777777" w:rsidR="00F6209C" w:rsidRPr="00E20A75" w:rsidRDefault="00F6209C" w:rsidP="00F6209C">
      <w:pPr>
        <w:tabs>
          <w:tab w:val="left" w:pos="2160"/>
          <w:tab w:val="left" w:pos="2880"/>
          <w:tab w:val="left" w:pos="3600"/>
          <w:tab w:val="left" w:pos="86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Article</w:t>
      </w:r>
      <w:r w:rsidRPr="00E20A75">
        <w:rPr>
          <w:rFonts w:ascii="Arial Narrow" w:hAnsi="Arial Narrow" w:cs="Arial"/>
          <w:b/>
          <w:color w:val="000000"/>
        </w:rPr>
        <w:t xml:space="preserve"> 2</w:t>
      </w:r>
      <w:r>
        <w:rPr>
          <w:rFonts w:ascii="Arial Narrow" w:hAnsi="Arial Narrow" w:cs="Arial"/>
          <w:b/>
          <w:color w:val="000000"/>
        </w:rPr>
        <w:t> :</w:t>
      </w:r>
      <w:r w:rsidRPr="00E20A75">
        <w:rPr>
          <w:rFonts w:ascii="Arial Narrow" w:hAnsi="Arial Narrow" w:cs="Arial"/>
          <w:b/>
          <w:color w:val="000000"/>
        </w:rPr>
        <w:t xml:space="preserve"> Collection</w:t>
      </w:r>
    </w:p>
    <w:p w14:paraId="0D0A2308" w14:textId="50B92D0A" w:rsidR="00F6209C" w:rsidRPr="00E20A75" w:rsidRDefault="00F6209C" w:rsidP="00F6209C">
      <w:pPr>
        <w:tabs>
          <w:tab w:val="left" w:pos="2160"/>
          <w:tab w:val="left" w:pos="2880"/>
          <w:tab w:val="left" w:pos="3600"/>
          <w:tab w:val="left" w:pos="86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La Bibliothèque publique de</w:t>
      </w:r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Casselman</w:t>
      </w:r>
      <w:proofErr w:type="spellEnd"/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offrira des collections ayant trait aux cultures, langues, et populations autochtones, y compris des livres, et des documents </w:t>
      </w:r>
      <w:proofErr w:type="spellStart"/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audio</w:t>
      </w:r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s</w:t>
      </w:r>
      <w:proofErr w:type="spellEnd"/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et vidéo</w:t>
      </w:r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s</w:t>
      </w: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  Notre collection contiendra des titres par et traitant des communautés des Première</w:t>
      </w:r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s</w:t>
      </w: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Nations, et contiendra les titres présentés dans le programme </w:t>
      </w:r>
      <w:r w:rsidRPr="00E20A75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 xml:space="preserve">First Nation </w:t>
      </w:r>
      <w:proofErr w:type="spellStart"/>
      <w:r w:rsidRPr="00E20A75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>Communities</w:t>
      </w:r>
      <w:proofErr w:type="spellEnd"/>
      <w:r w:rsidRPr="00E20A75">
        <w:rPr>
          <w:rFonts w:ascii="Arial Narrow" w:hAnsi="Arial Narrow" w:cs="Arial"/>
          <w:i/>
          <w:color w:val="000000"/>
          <w:sz w:val="20"/>
          <w:szCs w:val="20"/>
          <w:shd w:val="clear" w:color="auto" w:fill="FFFFFF"/>
        </w:rPr>
        <w:t xml:space="preserve"> Read</w:t>
      </w: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  Nos documents pour adolescents et adultes contiendront également des bandes dessinées romanesques sur les Premières Nations et Méti</w:t>
      </w:r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s</w:t>
      </w: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</w:p>
    <w:p w14:paraId="53F35777" w14:textId="77777777" w:rsidR="00F6209C" w:rsidRPr="00E20A75" w:rsidRDefault="00F6209C" w:rsidP="00F6209C">
      <w:pPr>
        <w:tabs>
          <w:tab w:val="left" w:pos="2160"/>
          <w:tab w:val="left" w:pos="2880"/>
          <w:tab w:val="left" w:pos="3600"/>
          <w:tab w:val="left" w:pos="86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</w:p>
    <w:p w14:paraId="7D28E9D4" w14:textId="1FA3E458" w:rsidR="00F6209C" w:rsidRPr="00F6209C" w:rsidRDefault="00F6209C" w:rsidP="00F6209C">
      <w:pPr>
        <w:tabs>
          <w:tab w:val="left" w:pos="2160"/>
          <w:tab w:val="left" w:pos="2880"/>
          <w:tab w:val="left" w:pos="3600"/>
          <w:tab w:val="left" w:pos="86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Article </w:t>
      </w:r>
      <w:r w:rsidRPr="00E20A75">
        <w:rPr>
          <w:rFonts w:ascii="Arial Narrow" w:hAnsi="Arial Narrow" w:cs="Arial"/>
          <w:b/>
          <w:color w:val="000000"/>
        </w:rPr>
        <w:t>3</w:t>
      </w:r>
      <w:r>
        <w:rPr>
          <w:rFonts w:ascii="Arial Narrow" w:hAnsi="Arial Narrow" w:cs="Arial"/>
          <w:b/>
          <w:color w:val="000000"/>
        </w:rPr>
        <w:t> :</w:t>
      </w:r>
      <w:r w:rsidRPr="00E20A75">
        <w:rPr>
          <w:rFonts w:ascii="Arial Narrow" w:hAnsi="Arial Narrow" w:cs="Arial"/>
          <w:b/>
          <w:color w:val="000000"/>
        </w:rPr>
        <w:t xml:space="preserve"> Services</w:t>
      </w:r>
    </w:p>
    <w:p w14:paraId="58452FF8" w14:textId="67C7B750" w:rsidR="003A5090" w:rsidRPr="00F6209C" w:rsidRDefault="00F6209C" w:rsidP="00F6209C">
      <w:pPr>
        <w:tabs>
          <w:tab w:val="left" w:pos="2160"/>
          <w:tab w:val="left" w:pos="2880"/>
          <w:tab w:val="left" w:pos="3600"/>
          <w:tab w:val="left" w:pos="86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La Bibliothèque publique de </w:t>
      </w:r>
      <w:proofErr w:type="spellStart"/>
      <w: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Casselman</w:t>
      </w:r>
      <w:proofErr w:type="spellEnd"/>
      <w:r w:rsidRPr="00E20A7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offrira des endroits accueillants et des services de bibliothèque aux populations autochtones, et partagera des éléments de la culture des Premières Nations avec des personnes non autochtones.</w:t>
      </w:r>
    </w:p>
    <w:sectPr w:rsidR="003A5090" w:rsidRPr="00F6209C" w:rsidSect="00E9413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27B81"/>
    <w:multiLevelType w:val="hybridMultilevel"/>
    <w:tmpl w:val="BF5E1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5"/>
    <w:rsid w:val="00004876"/>
    <w:rsid w:val="00126779"/>
    <w:rsid w:val="003A5090"/>
    <w:rsid w:val="00417E94"/>
    <w:rsid w:val="00591287"/>
    <w:rsid w:val="00610EB2"/>
    <w:rsid w:val="006B57A8"/>
    <w:rsid w:val="00A300C7"/>
    <w:rsid w:val="00B1147C"/>
    <w:rsid w:val="00BD1C2D"/>
    <w:rsid w:val="00C73313"/>
    <w:rsid w:val="00DA135A"/>
    <w:rsid w:val="00E00433"/>
    <w:rsid w:val="00E167B9"/>
    <w:rsid w:val="00E94135"/>
    <w:rsid w:val="00F036CC"/>
    <w:rsid w:val="00F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73BD"/>
  <w15:docId w15:val="{92DF025B-0967-8144-968C-E0EBF71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35"/>
  </w:style>
  <w:style w:type="paragraph" w:styleId="Heading3">
    <w:name w:val="heading 3"/>
    <w:basedOn w:val="Normal"/>
    <w:next w:val="Normal"/>
    <w:link w:val="Heading3Char"/>
    <w:qFormat/>
    <w:rsid w:val="00E9413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35"/>
    <w:pPr>
      <w:spacing w:after="0" w:line="240" w:lineRule="auto"/>
    </w:pPr>
    <w:rPr>
      <w:rFonts w:ascii="Calibri" w:hAnsi="Calibri" w:cs="Times New Roman"/>
      <w:lang w:eastAsia="fr-CA"/>
    </w:rPr>
  </w:style>
  <w:style w:type="character" w:styleId="SubtleEmphasis">
    <w:name w:val="Subtle Emphasis"/>
    <w:basedOn w:val="DefaultParagraphFont"/>
    <w:uiPriority w:val="19"/>
    <w:qFormat/>
    <w:rsid w:val="00E9413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94135"/>
    <w:rPr>
      <w:rFonts w:ascii="Arial" w:eastAsia="Times New Roman" w:hAnsi="Arial" w:cs="Arial"/>
      <w:b/>
      <w:bCs/>
      <w:szCs w:val="26"/>
      <w:lang w:val="en-US"/>
    </w:rPr>
  </w:style>
  <w:style w:type="paragraph" w:styleId="NormalWeb">
    <w:name w:val="Normal (Web)"/>
    <w:basedOn w:val="Normal"/>
    <w:rsid w:val="00E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6209C"/>
    <w:pPr>
      <w:spacing w:after="0" w:line="240" w:lineRule="auto"/>
      <w:ind w:left="720"/>
      <w:contextualSpacing/>
    </w:pPr>
    <w:rPr>
      <w:rFonts w:ascii="Arial" w:hAnsi="Arial" w:cs="Times New Roman"/>
      <w:lang w:val="en-US"/>
    </w:rPr>
  </w:style>
  <w:style w:type="character" w:styleId="Strong">
    <w:name w:val="Strong"/>
    <w:basedOn w:val="DefaultParagraphFont"/>
    <w:uiPriority w:val="22"/>
    <w:qFormat/>
    <w:rsid w:val="00F62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3</cp:revision>
  <cp:lastPrinted>2021-08-16T18:13:00Z</cp:lastPrinted>
  <dcterms:created xsi:type="dcterms:W3CDTF">2021-08-23T17:43:00Z</dcterms:created>
  <dcterms:modified xsi:type="dcterms:W3CDTF">2021-08-23T17:47:00Z</dcterms:modified>
</cp:coreProperties>
</file>