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5DE191D2" w:rsidR="00CB0D71" w:rsidRPr="00442EB1" w:rsidRDefault="0029147D" w:rsidP="005576A2">
            <w:pPr>
              <w:rPr>
                <w:rFonts w:ascii="Arial Narrow" w:hAnsi="Arial Narrow"/>
                <w:b/>
                <w:color w:val="000000" w:themeColor="text1"/>
              </w:rPr>
            </w:pPr>
            <w:proofErr w:type="spellStart"/>
            <w:r>
              <w:rPr>
                <w:rFonts w:ascii="Arial Narrow" w:hAnsi="Arial Narrow"/>
                <w:b/>
                <w:color w:val="000000" w:themeColor="text1"/>
              </w:rPr>
              <w:t>Fundraising</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44CD99B9" w:rsidR="00CB0D71" w:rsidRPr="00442EB1" w:rsidRDefault="0029147D" w:rsidP="005576A2">
            <w:pPr>
              <w:rPr>
                <w:rFonts w:ascii="Arial Narrow" w:hAnsi="Arial Narrow"/>
                <w:b/>
                <w:color w:val="000000" w:themeColor="text1"/>
              </w:rPr>
            </w:pPr>
            <w:r>
              <w:rPr>
                <w:rFonts w:ascii="Arial Narrow" w:hAnsi="Arial Narrow"/>
                <w:b/>
                <w:color w:val="000000" w:themeColor="text1"/>
              </w:rPr>
              <w:t>FR-01</w:t>
            </w:r>
          </w:p>
        </w:tc>
      </w:tr>
      <w:tr w:rsidR="00CB0D71" w:rsidRPr="00B710F8"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05DC7272" w:rsidR="00CB0D71" w:rsidRPr="004F1336" w:rsidRDefault="0029147D" w:rsidP="005576A2">
            <w:pPr>
              <w:rPr>
                <w:rFonts w:ascii="Arial Narrow" w:hAnsi="Arial Narrow"/>
                <w:bCs/>
                <w:color w:val="000000" w:themeColor="text1"/>
                <w:lang w:val="en-CA"/>
              </w:rPr>
            </w:pPr>
            <w:r>
              <w:rPr>
                <w:rFonts w:ascii="Arial Narrow" w:hAnsi="Arial Narrow"/>
                <w:bCs/>
                <w:color w:val="000000" w:themeColor="text1"/>
                <w:lang w:val="en-CA"/>
              </w:rPr>
              <w:t>General Gift Acceptance</w:t>
            </w:r>
          </w:p>
        </w:tc>
        <w:tc>
          <w:tcPr>
            <w:tcW w:w="2856" w:type="dxa"/>
          </w:tcPr>
          <w:p w14:paraId="01FC4986" w14:textId="2BD76285"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7FA93CF4" w14:textId="77777777" w:rsidR="00B27953" w:rsidRDefault="00B27953" w:rsidP="00B27953">
      <w:pPr>
        <w:tabs>
          <w:tab w:val="left" w:pos="0"/>
          <w:tab w:val="left" w:pos="2160"/>
          <w:tab w:val="left" w:pos="2880"/>
          <w:tab w:val="left" w:pos="3600"/>
        </w:tabs>
        <w:autoSpaceDE w:val="0"/>
        <w:autoSpaceDN w:val="0"/>
        <w:adjustRightInd w:val="0"/>
        <w:rPr>
          <w:rFonts w:ascii="Arial Narrow" w:hAnsi="Arial Narrow"/>
          <w:color w:val="000000"/>
          <w:sz w:val="20"/>
          <w:szCs w:val="20"/>
        </w:rPr>
      </w:pPr>
    </w:p>
    <w:p w14:paraId="48C8FB7E" w14:textId="114F38F5" w:rsidR="00B27953" w:rsidRPr="00B27953" w:rsidRDefault="00B27953" w:rsidP="00B27953">
      <w:pPr>
        <w:tabs>
          <w:tab w:val="left" w:pos="0"/>
        </w:tabs>
        <w:rPr>
          <w:rFonts w:ascii="Arial Narrow" w:hAnsi="Arial Narrow"/>
          <w:sz w:val="20"/>
          <w:szCs w:val="20"/>
          <w:lang w:val="en-CA"/>
        </w:rPr>
      </w:pPr>
      <w:r w:rsidRPr="00B27953">
        <w:rPr>
          <w:rFonts w:ascii="Arial Narrow" w:hAnsi="Arial Narrow"/>
          <w:sz w:val="20"/>
          <w:szCs w:val="20"/>
          <w:lang w:val="en-CA"/>
        </w:rPr>
        <w:t xml:space="preserve">The </w:t>
      </w:r>
      <w:r w:rsidR="0029147D">
        <w:rPr>
          <w:rFonts w:ascii="Arial Narrow" w:hAnsi="Arial Narrow"/>
          <w:sz w:val="20"/>
          <w:szCs w:val="20"/>
          <w:lang w:val="en-CA"/>
        </w:rPr>
        <w:t>Casselman</w:t>
      </w:r>
      <w:r w:rsidRPr="00B27953">
        <w:rPr>
          <w:rFonts w:ascii="Arial Narrow" w:hAnsi="Arial Narrow"/>
          <w:sz w:val="20"/>
          <w:szCs w:val="20"/>
          <w:lang w:val="en-CA"/>
        </w:rPr>
        <w:t xml:space="preserve"> Public Library welcomes and encourages contributions from individuals, groups, foundations and businesses for the purpose of enhancing and enriching the programs and services that the library provides.  This policy sets out the requirements for general gift acceptance in accordance with the library’s charitable status</w:t>
      </w:r>
      <w:r w:rsidR="0029147D">
        <w:rPr>
          <w:rFonts w:ascii="Arial Narrow" w:hAnsi="Arial Narrow"/>
          <w:sz w:val="20"/>
          <w:szCs w:val="20"/>
          <w:lang w:val="en-CA"/>
        </w:rPr>
        <w:t>.</w:t>
      </w:r>
    </w:p>
    <w:p w14:paraId="6164FBEB" w14:textId="77777777" w:rsidR="00B27953" w:rsidRPr="00B27953" w:rsidRDefault="00B27953" w:rsidP="00B27953">
      <w:pPr>
        <w:tabs>
          <w:tab w:val="left" w:pos="360"/>
        </w:tabs>
        <w:ind w:left="360" w:hanging="360"/>
        <w:rPr>
          <w:rFonts w:ascii="Arial Narrow" w:hAnsi="Arial Narrow"/>
          <w:sz w:val="20"/>
          <w:szCs w:val="20"/>
          <w:lang w:val="en-CA"/>
        </w:rPr>
      </w:pPr>
    </w:p>
    <w:p w14:paraId="6CF337E2" w14:textId="2748B72B" w:rsidR="00B27953" w:rsidRPr="0029147D" w:rsidRDefault="00B27953" w:rsidP="0029147D">
      <w:pPr>
        <w:tabs>
          <w:tab w:val="left" w:pos="360"/>
          <w:tab w:val="left" w:pos="1800"/>
        </w:tabs>
        <w:ind w:left="360" w:hanging="360"/>
        <w:rPr>
          <w:rFonts w:ascii="Arial Narrow" w:hAnsi="Arial Narrow"/>
          <w:b/>
        </w:rPr>
      </w:pPr>
      <w:r w:rsidRPr="003D7FB5">
        <w:rPr>
          <w:rFonts w:ascii="Arial Narrow" w:hAnsi="Arial Narrow"/>
          <w:b/>
        </w:rPr>
        <w:t xml:space="preserve">Section 1:  </w:t>
      </w:r>
      <w:proofErr w:type="spellStart"/>
      <w:r w:rsidRPr="003D7FB5">
        <w:rPr>
          <w:rFonts w:ascii="Arial Narrow" w:hAnsi="Arial Narrow"/>
          <w:b/>
        </w:rPr>
        <w:t>Ethics</w:t>
      </w:r>
      <w:proofErr w:type="spellEnd"/>
      <w:r w:rsidRPr="003D7FB5">
        <w:rPr>
          <w:rFonts w:ascii="Arial Narrow" w:hAnsi="Arial Narrow"/>
          <w:b/>
        </w:rPr>
        <w:t xml:space="preserve"> and </w:t>
      </w:r>
      <w:proofErr w:type="spellStart"/>
      <w:r w:rsidRPr="003D7FB5">
        <w:rPr>
          <w:rFonts w:ascii="Arial Narrow" w:hAnsi="Arial Narrow"/>
          <w:b/>
        </w:rPr>
        <w:t>Definitions</w:t>
      </w:r>
      <w:proofErr w:type="spellEnd"/>
      <w:r w:rsidRPr="003D7FB5">
        <w:rPr>
          <w:rFonts w:ascii="Arial Narrow" w:hAnsi="Arial Narrow"/>
          <w:b/>
        </w:rPr>
        <w:t xml:space="preserve"> </w:t>
      </w:r>
    </w:p>
    <w:p w14:paraId="135F5A31" w14:textId="70E573B3" w:rsidR="00B27953" w:rsidRPr="0029147D" w:rsidRDefault="00B27953" w:rsidP="0029147D">
      <w:pPr>
        <w:numPr>
          <w:ilvl w:val="0"/>
          <w:numId w:val="5"/>
        </w:numPr>
        <w:tabs>
          <w:tab w:val="left" w:pos="360"/>
          <w:tab w:val="left" w:pos="1800"/>
        </w:tabs>
        <w:spacing w:after="0" w:line="240" w:lineRule="auto"/>
        <w:ind w:left="360"/>
        <w:rPr>
          <w:rFonts w:ascii="Arial Narrow" w:hAnsi="Arial Narrow"/>
          <w:sz w:val="20"/>
          <w:szCs w:val="20"/>
          <w:lang w:val="en-CA"/>
        </w:rPr>
      </w:pPr>
      <w:r w:rsidRPr="00B27953">
        <w:rPr>
          <w:rFonts w:ascii="Arial Narrow" w:hAnsi="Arial Narrow"/>
          <w:sz w:val="20"/>
          <w:szCs w:val="20"/>
          <w:lang w:val="en-CA"/>
        </w:rPr>
        <w:t>T</w:t>
      </w:r>
      <w:r w:rsidR="0029147D">
        <w:rPr>
          <w:rFonts w:ascii="Arial Narrow" w:hAnsi="Arial Narrow"/>
          <w:sz w:val="20"/>
          <w:szCs w:val="20"/>
          <w:lang w:val="en-CA"/>
        </w:rPr>
        <w:t>he Casselman</w:t>
      </w:r>
      <w:r w:rsidRPr="00B27953">
        <w:rPr>
          <w:rFonts w:ascii="Arial Narrow" w:hAnsi="Arial Narrow"/>
          <w:sz w:val="20"/>
          <w:szCs w:val="20"/>
          <w:lang w:val="en-CA"/>
        </w:rPr>
        <w:t xml:space="preserve"> Public Library is committed to the highest ethical standards of philanthropy, financial accountability and development practice as articulated in the </w:t>
      </w:r>
      <w:r w:rsidRPr="00B27953">
        <w:rPr>
          <w:rFonts w:ascii="Arial Narrow" w:hAnsi="Arial Narrow"/>
          <w:i/>
          <w:sz w:val="20"/>
          <w:szCs w:val="20"/>
          <w:lang w:val="en-CA"/>
        </w:rPr>
        <w:t>Donor Bill of Rights</w:t>
      </w:r>
      <w:r w:rsidRPr="00B27953">
        <w:rPr>
          <w:rFonts w:ascii="Arial Narrow" w:hAnsi="Arial Narrow"/>
          <w:sz w:val="20"/>
          <w:szCs w:val="20"/>
          <w:lang w:val="en-CA"/>
        </w:rPr>
        <w:t xml:space="preserve"> (Appendix A).</w:t>
      </w:r>
      <w:r w:rsidR="0029147D">
        <w:rPr>
          <w:rFonts w:ascii="Arial Narrow" w:hAnsi="Arial Narrow"/>
          <w:sz w:val="20"/>
          <w:szCs w:val="20"/>
          <w:lang w:val="en-CA"/>
        </w:rPr>
        <w:br/>
      </w:r>
    </w:p>
    <w:p w14:paraId="4C13B39C" w14:textId="77777777" w:rsidR="00B27953" w:rsidRPr="00B27953" w:rsidRDefault="00B27953" w:rsidP="00B27953">
      <w:pPr>
        <w:numPr>
          <w:ilvl w:val="0"/>
          <w:numId w:val="5"/>
        </w:numPr>
        <w:tabs>
          <w:tab w:val="left" w:pos="360"/>
          <w:tab w:val="left" w:pos="1800"/>
        </w:tabs>
        <w:spacing w:after="0" w:line="240" w:lineRule="auto"/>
        <w:ind w:left="360"/>
        <w:rPr>
          <w:rFonts w:ascii="Arial Narrow" w:hAnsi="Arial Narrow"/>
          <w:sz w:val="20"/>
          <w:szCs w:val="20"/>
          <w:lang w:val="en-CA"/>
        </w:rPr>
      </w:pPr>
      <w:r w:rsidRPr="00B27953">
        <w:rPr>
          <w:rFonts w:ascii="Arial Narrow" w:hAnsi="Arial Narrow"/>
          <w:sz w:val="20"/>
          <w:szCs w:val="20"/>
          <w:lang w:val="en-CA"/>
        </w:rPr>
        <w:t>The Canada Revenue Agency defines a donation as a voluntary transfer of property to the library made without the expectation that any benefit will accrue to the donor.</w:t>
      </w:r>
    </w:p>
    <w:p w14:paraId="2D8F38BA" w14:textId="77777777" w:rsidR="00B27953" w:rsidRPr="00B27953" w:rsidRDefault="00B27953" w:rsidP="0029147D">
      <w:pPr>
        <w:tabs>
          <w:tab w:val="left" w:pos="360"/>
          <w:tab w:val="left" w:pos="1800"/>
        </w:tabs>
        <w:rPr>
          <w:rFonts w:ascii="Arial Narrow" w:hAnsi="Arial Narrow"/>
          <w:sz w:val="20"/>
          <w:szCs w:val="20"/>
          <w:lang w:val="en-CA"/>
        </w:rPr>
      </w:pPr>
    </w:p>
    <w:p w14:paraId="4AECE010" w14:textId="2D949D27" w:rsidR="00B27953" w:rsidRPr="0029147D" w:rsidRDefault="00B27953" w:rsidP="0029147D">
      <w:pPr>
        <w:tabs>
          <w:tab w:val="left" w:pos="360"/>
          <w:tab w:val="left" w:pos="1800"/>
        </w:tabs>
        <w:ind w:left="360" w:hanging="360"/>
        <w:rPr>
          <w:rFonts w:ascii="Arial Narrow" w:hAnsi="Arial Narrow"/>
          <w:b/>
        </w:rPr>
      </w:pPr>
      <w:r w:rsidRPr="003D7FB5">
        <w:rPr>
          <w:rFonts w:ascii="Arial Narrow" w:hAnsi="Arial Narrow"/>
          <w:b/>
        </w:rPr>
        <w:t xml:space="preserve">Section 2:  Types of Gifts </w:t>
      </w:r>
    </w:p>
    <w:p w14:paraId="07F86042" w14:textId="68C5E18E" w:rsidR="00B27953" w:rsidRPr="0029147D" w:rsidRDefault="00B27953" w:rsidP="0029147D">
      <w:pPr>
        <w:numPr>
          <w:ilvl w:val="0"/>
          <w:numId w:val="7"/>
        </w:numPr>
        <w:tabs>
          <w:tab w:val="left" w:pos="360"/>
          <w:tab w:val="left" w:pos="1080"/>
          <w:tab w:val="left" w:pos="1800"/>
        </w:tabs>
        <w:spacing w:after="0" w:line="240" w:lineRule="auto"/>
        <w:ind w:left="360"/>
        <w:rPr>
          <w:rFonts w:ascii="Arial Narrow" w:hAnsi="Arial Narrow"/>
          <w:sz w:val="20"/>
          <w:szCs w:val="20"/>
          <w:lang w:val="en-CA"/>
        </w:rPr>
      </w:pPr>
      <w:r w:rsidRPr="00B27953">
        <w:rPr>
          <w:rFonts w:ascii="Arial Narrow" w:hAnsi="Arial Narrow"/>
          <w:sz w:val="20"/>
          <w:szCs w:val="20"/>
          <w:lang w:val="en-CA"/>
        </w:rPr>
        <w:t>The library accepts the following types of contributions:</w:t>
      </w:r>
      <w:r w:rsidR="0029147D">
        <w:rPr>
          <w:rFonts w:ascii="Arial Narrow" w:hAnsi="Arial Narrow"/>
          <w:sz w:val="20"/>
          <w:szCs w:val="20"/>
          <w:lang w:val="en-CA"/>
        </w:rPr>
        <w:br/>
      </w:r>
    </w:p>
    <w:p w14:paraId="5E917A26" w14:textId="0A6AE77F" w:rsidR="00B27953" w:rsidRPr="00B27953" w:rsidRDefault="00B27953" w:rsidP="00B27953">
      <w:pPr>
        <w:numPr>
          <w:ilvl w:val="0"/>
          <w:numId w:val="8"/>
        </w:numPr>
        <w:tabs>
          <w:tab w:val="left" w:pos="1080"/>
          <w:tab w:val="left" w:pos="1440"/>
        </w:tabs>
        <w:spacing w:after="0" w:line="240" w:lineRule="auto"/>
        <w:ind w:left="1080"/>
        <w:rPr>
          <w:rFonts w:ascii="Arial Narrow" w:hAnsi="Arial Narrow"/>
          <w:sz w:val="20"/>
          <w:szCs w:val="20"/>
          <w:lang w:val="en-CA"/>
        </w:rPr>
      </w:pPr>
      <w:r w:rsidRPr="00B27953">
        <w:rPr>
          <w:rFonts w:ascii="Arial Narrow" w:hAnsi="Arial Narrow"/>
          <w:sz w:val="20"/>
          <w:szCs w:val="20"/>
          <w:lang w:val="en-CA"/>
        </w:rPr>
        <w:t>books, manuscripts and other printed material</w:t>
      </w:r>
      <w:r w:rsidR="0029147D">
        <w:rPr>
          <w:rFonts w:ascii="Arial Narrow" w:hAnsi="Arial Narrow"/>
          <w:sz w:val="20"/>
          <w:szCs w:val="20"/>
          <w:lang w:val="en-CA"/>
        </w:rPr>
        <w:t>;</w:t>
      </w:r>
      <w:r w:rsidRPr="00B27953">
        <w:rPr>
          <w:rFonts w:ascii="Arial Narrow" w:hAnsi="Arial Narrow"/>
          <w:sz w:val="20"/>
          <w:szCs w:val="20"/>
          <w:lang w:val="en-CA"/>
        </w:rPr>
        <w:t xml:space="preserve"> </w:t>
      </w:r>
    </w:p>
    <w:p w14:paraId="0E07EA29" w14:textId="423F9D9F" w:rsidR="00B27953" w:rsidRPr="00326E32" w:rsidRDefault="00B27953" w:rsidP="00B27953">
      <w:pPr>
        <w:numPr>
          <w:ilvl w:val="0"/>
          <w:numId w:val="8"/>
        </w:numPr>
        <w:tabs>
          <w:tab w:val="left" w:pos="1080"/>
          <w:tab w:val="left" w:pos="1440"/>
        </w:tabs>
        <w:spacing w:after="0" w:line="240" w:lineRule="auto"/>
        <w:ind w:left="1080"/>
        <w:rPr>
          <w:rFonts w:ascii="Arial Narrow" w:hAnsi="Arial Narrow"/>
          <w:sz w:val="20"/>
          <w:szCs w:val="20"/>
        </w:rPr>
      </w:pPr>
      <w:proofErr w:type="gramStart"/>
      <w:r w:rsidRPr="00326E32">
        <w:rPr>
          <w:rFonts w:ascii="Arial Narrow" w:hAnsi="Arial Narrow"/>
          <w:sz w:val="20"/>
          <w:szCs w:val="20"/>
        </w:rPr>
        <w:t>audio</w:t>
      </w:r>
      <w:proofErr w:type="gramEnd"/>
      <w:r w:rsidRPr="00326E32">
        <w:rPr>
          <w:rFonts w:ascii="Arial Narrow" w:hAnsi="Arial Narrow"/>
          <w:sz w:val="20"/>
          <w:szCs w:val="20"/>
        </w:rPr>
        <w:t xml:space="preserve"> </w:t>
      </w:r>
      <w:proofErr w:type="spellStart"/>
      <w:r w:rsidRPr="00326E32">
        <w:rPr>
          <w:rFonts w:ascii="Arial Narrow" w:hAnsi="Arial Narrow"/>
          <w:sz w:val="20"/>
          <w:szCs w:val="20"/>
        </w:rPr>
        <w:t>visual</w:t>
      </w:r>
      <w:proofErr w:type="spellEnd"/>
      <w:r w:rsidRPr="00326E32">
        <w:rPr>
          <w:rFonts w:ascii="Arial Narrow" w:hAnsi="Arial Narrow"/>
          <w:sz w:val="20"/>
          <w:szCs w:val="20"/>
        </w:rPr>
        <w:t xml:space="preserve"> </w:t>
      </w:r>
      <w:proofErr w:type="spellStart"/>
      <w:r w:rsidRPr="00326E32">
        <w:rPr>
          <w:rFonts w:ascii="Arial Narrow" w:hAnsi="Arial Narrow"/>
          <w:sz w:val="20"/>
          <w:szCs w:val="20"/>
        </w:rPr>
        <w:t>material</w:t>
      </w:r>
      <w:proofErr w:type="spellEnd"/>
      <w:r w:rsidR="0029147D">
        <w:rPr>
          <w:rFonts w:ascii="Arial Narrow" w:hAnsi="Arial Narrow"/>
          <w:sz w:val="20"/>
          <w:szCs w:val="20"/>
        </w:rPr>
        <w:t>;</w:t>
      </w:r>
    </w:p>
    <w:p w14:paraId="60AEDF04" w14:textId="1D8EB63B" w:rsidR="00B27953" w:rsidRPr="00B27953" w:rsidRDefault="00B27953" w:rsidP="00B27953">
      <w:pPr>
        <w:numPr>
          <w:ilvl w:val="0"/>
          <w:numId w:val="8"/>
        </w:numPr>
        <w:tabs>
          <w:tab w:val="left" w:pos="1080"/>
          <w:tab w:val="left" w:pos="1440"/>
        </w:tabs>
        <w:spacing w:after="0" w:line="240" w:lineRule="auto"/>
        <w:ind w:left="1080"/>
        <w:rPr>
          <w:rFonts w:ascii="Arial Narrow" w:hAnsi="Arial Narrow"/>
          <w:sz w:val="20"/>
          <w:szCs w:val="20"/>
          <w:lang w:val="en-CA"/>
        </w:rPr>
      </w:pPr>
      <w:r w:rsidRPr="00B27953">
        <w:rPr>
          <w:rFonts w:ascii="Arial Narrow" w:hAnsi="Arial Narrow"/>
          <w:sz w:val="20"/>
          <w:szCs w:val="20"/>
          <w:lang w:val="en-CA"/>
        </w:rPr>
        <w:t>art and photographic works of archival significance</w:t>
      </w:r>
      <w:r w:rsidR="0029147D">
        <w:rPr>
          <w:rFonts w:ascii="Arial Narrow" w:hAnsi="Arial Narrow"/>
          <w:sz w:val="20"/>
          <w:szCs w:val="20"/>
          <w:lang w:val="en-CA"/>
        </w:rPr>
        <w:t>;</w:t>
      </w:r>
    </w:p>
    <w:p w14:paraId="2FAE782B" w14:textId="06F1A445" w:rsidR="00B27953" w:rsidRPr="00B27953" w:rsidRDefault="00B27953" w:rsidP="00B27953">
      <w:pPr>
        <w:numPr>
          <w:ilvl w:val="0"/>
          <w:numId w:val="8"/>
        </w:numPr>
        <w:tabs>
          <w:tab w:val="left" w:pos="1080"/>
          <w:tab w:val="left" w:pos="1440"/>
        </w:tabs>
        <w:spacing w:after="0" w:line="240" w:lineRule="auto"/>
        <w:ind w:left="1080"/>
        <w:rPr>
          <w:rFonts w:ascii="Arial Narrow" w:hAnsi="Arial Narrow"/>
          <w:sz w:val="20"/>
          <w:szCs w:val="20"/>
          <w:lang w:val="en-CA"/>
        </w:rPr>
      </w:pPr>
      <w:r w:rsidRPr="00B27953">
        <w:rPr>
          <w:rFonts w:ascii="Arial Narrow" w:hAnsi="Arial Narrow"/>
          <w:sz w:val="20"/>
          <w:szCs w:val="20"/>
          <w:lang w:val="en-CA"/>
        </w:rPr>
        <w:t>material of significance for local history and genealogy</w:t>
      </w:r>
      <w:r w:rsidR="0029147D">
        <w:rPr>
          <w:rFonts w:ascii="Arial Narrow" w:hAnsi="Arial Narrow"/>
          <w:sz w:val="20"/>
          <w:szCs w:val="20"/>
          <w:lang w:val="en-CA"/>
        </w:rPr>
        <w:t>;</w:t>
      </w:r>
    </w:p>
    <w:p w14:paraId="5344C9AF" w14:textId="7F378C55" w:rsidR="00B27953" w:rsidRPr="00326E32" w:rsidRDefault="00B27953" w:rsidP="00B27953">
      <w:pPr>
        <w:numPr>
          <w:ilvl w:val="0"/>
          <w:numId w:val="8"/>
        </w:numPr>
        <w:tabs>
          <w:tab w:val="left" w:pos="1080"/>
          <w:tab w:val="left" w:pos="1440"/>
        </w:tabs>
        <w:spacing w:after="0" w:line="240" w:lineRule="auto"/>
        <w:ind w:left="1080"/>
        <w:rPr>
          <w:rFonts w:ascii="Arial Narrow" w:hAnsi="Arial Narrow"/>
          <w:sz w:val="20"/>
          <w:szCs w:val="20"/>
        </w:rPr>
      </w:pPr>
      <w:proofErr w:type="spellStart"/>
      <w:proofErr w:type="gramStart"/>
      <w:r w:rsidRPr="00326E32">
        <w:rPr>
          <w:rFonts w:ascii="Arial Narrow" w:hAnsi="Arial Narrow"/>
          <w:sz w:val="20"/>
          <w:szCs w:val="20"/>
        </w:rPr>
        <w:t>equipment</w:t>
      </w:r>
      <w:proofErr w:type="spellEnd"/>
      <w:proofErr w:type="gramEnd"/>
      <w:r w:rsidR="0029147D">
        <w:rPr>
          <w:rFonts w:ascii="Arial Narrow" w:hAnsi="Arial Narrow"/>
          <w:sz w:val="20"/>
          <w:szCs w:val="20"/>
        </w:rPr>
        <w:t>;</w:t>
      </w:r>
    </w:p>
    <w:p w14:paraId="10FA2408" w14:textId="110F8B99" w:rsidR="00B27953" w:rsidRPr="00326E32" w:rsidRDefault="00B27953" w:rsidP="00B27953">
      <w:pPr>
        <w:numPr>
          <w:ilvl w:val="0"/>
          <w:numId w:val="8"/>
        </w:numPr>
        <w:tabs>
          <w:tab w:val="left" w:pos="1080"/>
          <w:tab w:val="left" w:pos="1440"/>
        </w:tabs>
        <w:spacing w:after="0" w:line="240" w:lineRule="auto"/>
        <w:ind w:left="1080"/>
        <w:rPr>
          <w:rFonts w:ascii="Arial Narrow" w:hAnsi="Arial Narrow"/>
          <w:sz w:val="20"/>
          <w:szCs w:val="20"/>
        </w:rPr>
      </w:pPr>
      <w:proofErr w:type="spellStart"/>
      <w:proofErr w:type="gramStart"/>
      <w:r w:rsidRPr="00326E32">
        <w:rPr>
          <w:rFonts w:ascii="Arial Narrow" w:hAnsi="Arial Narrow"/>
          <w:sz w:val="20"/>
          <w:szCs w:val="20"/>
        </w:rPr>
        <w:t>toys</w:t>
      </w:r>
      <w:proofErr w:type="spellEnd"/>
      <w:proofErr w:type="gramEnd"/>
      <w:r w:rsidR="0029147D">
        <w:rPr>
          <w:rFonts w:ascii="Arial Narrow" w:hAnsi="Arial Narrow"/>
          <w:sz w:val="20"/>
          <w:szCs w:val="20"/>
        </w:rPr>
        <w:t>;</w:t>
      </w:r>
    </w:p>
    <w:p w14:paraId="6744F822" w14:textId="1C6B23A8" w:rsidR="00B27953" w:rsidRPr="00326E32" w:rsidRDefault="00B27953" w:rsidP="00B27953">
      <w:pPr>
        <w:numPr>
          <w:ilvl w:val="0"/>
          <w:numId w:val="8"/>
        </w:numPr>
        <w:tabs>
          <w:tab w:val="left" w:pos="1080"/>
          <w:tab w:val="left" w:pos="1440"/>
        </w:tabs>
        <w:spacing w:after="0" w:line="240" w:lineRule="auto"/>
        <w:ind w:left="1080"/>
        <w:rPr>
          <w:rFonts w:ascii="Arial Narrow" w:hAnsi="Arial Narrow"/>
          <w:sz w:val="20"/>
          <w:szCs w:val="20"/>
        </w:rPr>
      </w:pPr>
      <w:proofErr w:type="gramStart"/>
      <w:r w:rsidRPr="00326E32">
        <w:rPr>
          <w:rFonts w:ascii="Arial Narrow" w:hAnsi="Arial Narrow"/>
          <w:sz w:val="20"/>
          <w:szCs w:val="20"/>
        </w:rPr>
        <w:t>cash</w:t>
      </w:r>
      <w:proofErr w:type="gramEnd"/>
      <w:r w:rsidR="0029147D">
        <w:rPr>
          <w:rFonts w:ascii="Arial Narrow" w:hAnsi="Arial Narrow"/>
          <w:sz w:val="20"/>
          <w:szCs w:val="20"/>
        </w:rPr>
        <w:t>;</w:t>
      </w:r>
    </w:p>
    <w:p w14:paraId="5BF01727" w14:textId="3284136C" w:rsidR="00B27953" w:rsidRPr="00B27953" w:rsidRDefault="00B27953" w:rsidP="00B27953">
      <w:pPr>
        <w:numPr>
          <w:ilvl w:val="0"/>
          <w:numId w:val="8"/>
        </w:numPr>
        <w:tabs>
          <w:tab w:val="left" w:pos="1080"/>
        </w:tabs>
        <w:spacing w:after="0" w:line="240" w:lineRule="auto"/>
        <w:ind w:left="1080"/>
        <w:rPr>
          <w:rFonts w:ascii="Arial Narrow" w:hAnsi="Arial Narrow"/>
          <w:b/>
          <w:sz w:val="20"/>
          <w:szCs w:val="20"/>
          <w:lang w:val="en-CA"/>
        </w:rPr>
      </w:pPr>
      <w:r w:rsidRPr="00B27953">
        <w:rPr>
          <w:rFonts w:ascii="Arial Narrow" w:hAnsi="Arial Narrow"/>
          <w:sz w:val="20"/>
          <w:szCs w:val="20"/>
          <w:lang w:val="en-CA"/>
        </w:rPr>
        <w:t>other in-kind gifts or service</w:t>
      </w:r>
      <w:r w:rsidR="0029147D">
        <w:rPr>
          <w:rFonts w:ascii="Arial Narrow" w:hAnsi="Arial Narrow"/>
          <w:sz w:val="20"/>
          <w:szCs w:val="20"/>
          <w:lang w:val="en-CA"/>
        </w:rPr>
        <w:t>s;</w:t>
      </w:r>
    </w:p>
    <w:p w14:paraId="24B5151A" w14:textId="0FE9E31E" w:rsidR="00B27953" w:rsidRPr="00B27953" w:rsidRDefault="00B27953" w:rsidP="00B27953">
      <w:pPr>
        <w:numPr>
          <w:ilvl w:val="0"/>
          <w:numId w:val="8"/>
        </w:numPr>
        <w:tabs>
          <w:tab w:val="left" w:pos="1080"/>
        </w:tabs>
        <w:spacing w:after="0" w:line="240" w:lineRule="auto"/>
        <w:ind w:left="1080"/>
        <w:rPr>
          <w:rFonts w:ascii="Arial Narrow" w:hAnsi="Arial Narrow"/>
          <w:sz w:val="20"/>
          <w:szCs w:val="20"/>
          <w:lang w:val="en-CA"/>
        </w:rPr>
      </w:pPr>
      <w:r w:rsidRPr="00B27953">
        <w:rPr>
          <w:rFonts w:ascii="Arial Narrow" w:hAnsi="Arial Narrow"/>
          <w:sz w:val="20"/>
          <w:szCs w:val="20"/>
          <w:lang w:val="en-CA"/>
        </w:rPr>
        <w:t>property of significant value, such as real estate</w:t>
      </w:r>
      <w:r w:rsidR="0029147D">
        <w:rPr>
          <w:rFonts w:ascii="Arial Narrow" w:hAnsi="Arial Narrow"/>
          <w:sz w:val="20"/>
          <w:szCs w:val="20"/>
          <w:lang w:val="en-CA"/>
        </w:rPr>
        <w:t>;</w:t>
      </w:r>
    </w:p>
    <w:p w14:paraId="51F7496E" w14:textId="7F2FE39F" w:rsidR="00B27953" w:rsidRPr="00B27953" w:rsidRDefault="00B27953" w:rsidP="00B27953">
      <w:pPr>
        <w:numPr>
          <w:ilvl w:val="0"/>
          <w:numId w:val="8"/>
        </w:numPr>
        <w:tabs>
          <w:tab w:val="left" w:pos="1080"/>
        </w:tabs>
        <w:spacing w:after="0" w:line="240" w:lineRule="auto"/>
        <w:ind w:left="1080"/>
        <w:rPr>
          <w:rFonts w:ascii="Arial Narrow" w:hAnsi="Arial Narrow"/>
          <w:b/>
          <w:sz w:val="20"/>
          <w:szCs w:val="20"/>
          <w:lang w:val="en-CA"/>
        </w:rPr>
      </w:pPr>
      <w:r w:rsidRPr="00B27953">
        <w:rPr>
          <w:rFonts w:ascii="Arial Narrow" w:hAnsi="Arial Narrow"/>
          <w:sz w:val="20"/>
          <w:szCs w:val="20"/>
          <w:lang w:val="en-CA"/>
        </w:rPr>
        <w:t>transfers of securities</w:t>
      </w:r>
      <w:r w:rsidR="0029147D">
        <w:rPr>
          <w:rFonts w:ascii="Arial Narrow" w:hAnsi="Arial Narrow"/>
          <w:sz w:val="20"/>
          <w:szCs w:val="20"/>
          <w:lang w:val="en-CA"/>
        </w:rPr>
        <w:t>;</w:t>
      </w:r>
    </w:p>
    <w:p w14:paraId="16C8E9A3" w14:textId="77777777" w:rsidR="00B27953" w:rsidRPr="00B27953" w:rsidRDefault="00B27953" w:rsidP="00B27953">
      <w:pPr>
        <w:numPr>
          <w:ilvl w:val="0"/>
          <w:numId w:val="8"/>
        </w:numPr>
        <w:tabs>
          <w:tab w:val="left" w:pos="1080"/>
        </w:tabs>
        <w:spacing w:after="0" w:line="240" w:lineRule="auto"/>
        <w:ind w:left="1080"/>
        <w:rPr>
          <w:rFonts w:ascii="Arial Narrow" w:hAnsi="Arial Narrow"/>
          <w:sz w:val="20"/>
          <w:szCs w:val="20"/>
          <w:lang w:val="en-CA"/>
        </w:rPr>
      </w:pPr>
      <w:r w:rsidRPr="00B27953">
        <w:rPr>
          <w:rFonts w:ascii="Arial Narrow" w:hAnsi="Arial Narrow"/>
          <w:sz w:val="20"/>
          <w:szCs w:val="20"/>
          <w:lang w:val="en-CA"/>
        </w:rPr>
        <w:t>planned gifts such as bequests or gifts of life insurance.</w:t>
      </w:r>
    </w:p>
    <w:p w14:paraId="34B7E28A" w14:textId="77777777" w:rsidR="00B27953" w:rsidRPr="00B27953" w:rsidRDefault="00B27953" w:rsidP="00B27953">
      <w:pPr>
        <w:rPr>
          <w:rFonts w:ascii="Arial Narrow" w:eastAsia="Calibri" w:hAnsi="Arial Narrow"/>
          <w:b/>
          <w:lang w:val="en-CA"/>
        </w:rPr>
      </w:pPr>
      <w:r w:rsidRPr="00B27953">
        <w:rPr>
          <w:rFonts w:ascii="Arial Narrow" w:hAnsi="Arial Narrow"/>
          <w:b/>
          <w:lang w:val="en-CA"/>
        </w:rPr>
        <w:br w:type="page"/>
      </w:r>
    </w:p>
    <w:p w14:paraId="3306B1C1" w14:textId="77777777" w:rsidR="00B27953" w:rsidRPr="00B27953" w:rsidRDefault="00B27953" w:rsidP="00B27953">
      <w:pPr>
        <w:tabs>
          <w:tab w:val="left" w:pos="360"/>
          <w:tab w:val="left" w:pos="1080"/>
        </w:tabs>
        <w:ind w:left="360" w:hanging="360"/>
        <w:rPr>
          <w:rFonts w:ascii="Arial Narrow" w:hAnsi="Arial Narrow"/>
          <w:sz w:val="20"/>
          <w:szCs w:val="20"/>
          <w:lang w:val="en-CA"/>
        </w:rPr>
      </w:pPr>
    </w:p>
    <w:p w14:paraId="22DDFE20" w14:textId="77777777" w:rsidR="00B27953" w:rsidRPr="00B27953" w:rsidRDefault="00B27953" w:rsidP="00B27953">
      <w:pPr>
        <w:tabs>
          <w:tab w:val="left" w:pos="360"/>
          <w:tab w:val="left" w:pos="1080"/>
        </w:tabs>
        <w:ind w:left="360" w:hanging="360"/>
        <w:rPr>
          <w:rFonts w:ascii="Arial Narrow" w:hAnsi="Arial Narrow"/>
          <w:sz w:val="20"/>
          <w:szCs w:val="20"/>
          <w:lang w:val="en-CA"/>
        </w:rPr>
      </w:pPr>
    </w:p>
    <w:p w14:paraId="51C494D9" w14:textId="6B3C3ADA" w:rsidR="00B27953" w:rsidRPr="0029147D" w:rsidRDefault="00B27953" w:rsidP="0029147D">
      <w:pPr>
        <w:tabs>
          <w:tab w:val="left" w:pos="360"/>
          <w:tab w:val="left" w:pos="1080"/>
        </w:tabs>
        <w:ind w:left="360" w:hanging="360"/>
        <w:rPr>
          <w:rFonts w:ascii="Arial Narrow" w:hAnsi="Arial Narrow"/>
          <w:b/>
        </w:rPr>
      </w:pPr>
      <w:r w:rsidRPr="003D7FB5">
        <w:rPr>
          <w:rFonts w:ascii="Arial Narrow" w:hAnsi="Arial Narrow"/>
          <w:b/>
        </w:rPr>
        <w:t xml:space="preserve">Section 3:  </w:t>
      </w:r>
      <w:proofErr w:type="spellStart"/>
      <w:r w:rsidRPr="003D7FB5">
        <w:rPr>
          <w:rFonts w:ascii="Arial Narrow" w:hAnsi="Arial Narrow"/>
          <w:b/>
        </w:rPr>
        <w:t>Acceptance</w:t>
      </w:r>
      <w:proofErr w:type="spellEnd"/>
      <w:r w:rsidRPr="003D7FB5">
        <w:rPr>
          <w:rFonts w:ascii="Arial Narrow" w:hAnsi="Arial Narrow"/>
          <w:b/>
        </w:rPr>
        <w:t xml:space="preserve"> of Donations</w:t>
      </w:r>
    </w:p>
    <w:p w14:paraId="77181351" w14:textId="44013C4C" w:rsidR="00B27953" w:rsidRPr="0029147D" w:rsidRDefault="00B27953" w:rsidP="0029147D">
      <w:pPr>
        <w:pStyle w:val="ListParagraph"/>
        <w:numPr>
          <w:ilvl w:val="0"/>
          <w:numId w:val="6"/>
        </w:numPr>
        <w:tabs>
          <w:tab w:val="left" w:pos="360"/>
        </w:tabs>
        <w:spacing w:after="0" w:line="240" w:lineRule="auto"/>
        <w:ind w:left="360"/>
        <w:rPr>
          <w:rFonts w:ascii="Arial Narrow" w:hAnsi="Arial Narrow"/>
          <w:sz w:val="20"/>
          <w:szCs w:val="20"/>
          <w:lang w:val="en-CA"/>
        </w:rPr>
      </w:pPr>
      <w:r w:rsidRPr="00B27953">
        <w:rPr>
          <w:rFonts w:ascii="Arial Narrow" w:hAnsi="Arial Narrow"/>
          <w:sz w:val="20"/>
          <w:szCs w:val="20"/>
          <w:lang w:val="en-CA"/>
        </w:rPr>
        <w:t xml:space="preserve">The library evaluates all donations and accept only those which it feels align with the mission, values and standards of the library.  </w:t>
      </w:r>
      <w:r w:rsidR="0029147D">
        <w:rPr>
          <w:rFonts w:ascii="Arial Narrow" w:hAnsi="Arial Narrow"/>
          <w:sz w:val="20"/>
          <w:szCs w:val="20"/>
          <w:lang w:val="en-CA"/>
        </w:rPr>
        <w:br/>
      </w:r>
    </w:p>
    <w:p w14:paraId="71AA08FA" w14:textId="1D108008" w:rsidR="00B27953" w:rsidRPr="00B27953" w:rsidRDefault="00B27953" w:rsidP="00B27953">
      <w:pPr>
        <w:pStyle w:val="ListParagraph"/>
        <w:numPr>
          <w:ilvl w:val="0"/>
          <w:numId w:val="6"/>
        </w:numPr>
        <w:tabs>
          <w:tab w:val="left" w:pos="360"/>
        </w:tabs>
        <w:spacing w:after="0" w:line="240" w:lineRule="auto"/>
        <w:ind w:left="360"/>
        <w:rPr>
          <w:rFonts w:ascii="Arial Narrow" w:hAnsi="Arial Narrow"/>
          <w:sz w:val="20"/>
          <w:szCs w:val="20"/>
          <w:lang w:val="en-CA"/>
        </w:rPr>
      </w:pPr>
      <w:r w:rsidRPr="00B27953">
        <w:rPr>
          <w:rFonts w:ascii="Arial Narrow" w:hAnsi="Arial Narrow"/>
          <w:sz w:val="20"/>
          <w:szCs w:val="20"/>
          <w:lang w:val="en-CA"/>
        </w:rPr>
        <w:t>Donations will become the exclusive property of the library and must be clea</w:t>
      </w:r>
      <w:r w:rsidR="0029147D">
        <w:rPr>
          <w:rFonts w:ascii="Arial Narrow" w:hAnsi="Arial Narrow"/>
          <w:sz w:val="20"/>
          <w:szCs w:val="20"/>
          <w:lang w:val="en-CA"/>
        </w:rPr>
        <w:t>n</w:t>
      </w:r>
      <w:r w:rsidRPr="00B27953">
        <w:rPr>
          <w:rFonts w:ascii="Arial Narrow" w:hAnsi="Arial Narrow"/>
          <w:sz w:val="20"/>
          <w:szCs w:val="20"/>
          <w:lang w:val="en-CA"/>
        </w:rPr>
        <w:t xml:space="preserve"> and unencumbered when given.   The library may accept conditions on the use and/or disposition of donations only where it deems the proposed conditions to be reasonable and feasible.</w:t>
      </w:r>
    </w:p>
    <w:p w14:paraId="23275715" w14:textId="77777777" w:rsidR="00B27953" w:rsidRPr="00B27953" w:rsidRDefault="00B27953" w:rsidP="00B27953">
      <w:pPr>
        <w:pStyle w:val="ListParagraph"/>
        <w:tabs>
          <w:tab w:val="left" w:pos="360"/>
        </w:tabs>
        <w:ind w:left="360" w:hanging="360"/>
        <w:rPr>
          <w:rFonts w:ascii="Arial Narrow" w:hAnsi="Arial Narrow"/>
          <w:sz w:val="20"/>
          <w:szCs w:val="20"/>
          <w:lang w:val="en-CA"/>
        </w:rPr>
      </w:pPr>
    </w:p>
    <w:p w14:paraId="374488A3" w14:textId="77777777" w:rsidR="00B27953" w:rsidRPr="00B27953" w:rsidRDefault="00B27953" w:rsidP="00B27953">
      <w:pPr>
        <w:pStyle w:val="ListParagraph"/>
        <w:numPr>
          <w:ilvl w:val="0"/>
          <w:numId w:val="6"/>
        </w:numPr>
        <w:tabs>
          <w:tab w:val="left" w:pos="360"/>
        </w:tabs>
        <w:spacing w:after="0" w:line="240" w:lineRule="auto"/>
        <w:ind w:left="360"/>
        <w:rPr>
          <w:rFonts w:ascii="Arial Narrow" w:hAnsi="Arial Narrow"/>
          <w:sz w:val="20"/>
          <w:szCs w:val="20"/>
          <w:lang w:val="en-CA"/>
        </w:rPr>
      </w:pPr>
      <w:r w:rsidRPr="00B27953">
        <w:rPr>
          <w:rFonts w:ascii="Arial Narrow" w:hAnsi="Arial Narrow"/>
          <w:sz w:val="20"/>
          <w:szCs w:val="20"/>
          <w:lang w:val="en-CA"/>
        </w:rPr>
        <w:t xml:space="preserve">While honouring the wishes of donors as appropriate, the library reserves the right to use the donation in the best interest of the library, and shall make decisions regarding the investment, disposition and eventual disposal of all donations.  </w:t>
      </w:r>
    </w:p>
    <w:p w14:paraId="5B3A9E0B" w14:textId="77777777" w:rsidR="00B27953" w:rsidRPr="00B27953" w:rsidRDefault="00B27953" w:rsidP="00B27953">
      <w:pPr>
        <w:pStyle w:val="ListParagraph"/>
        <w:tabs>
          <w:tab w:val="left" w:pos="360"/>
        </w:tabs>
        <w:ind w:left="360" w:hanging="360"/>
        <w:rPr>
          <w:rFonts w:ascii="Arial Narrow" w:hAnsi="Arial Narrow"/>
          <w:sz w:val="20"/>
          <w:szCs w:val="20"/>
          <w:lang w:val="en-CA"/>
        </w:rPr>
      </w:pPr>
    </w:p>
    <w:p w14:paraId="72CDFB1D" w14:textId="77777777" w:rsidR="00B27953" w:rsidRPr="00B27953" w:rsidRDefault="00B27953" w:rsidP="00B27953">
      <w:pPr>
        <w:tabs>
          <w:tab w:val="left" w:pos="360"/>
        </w:tabs>
        <w:ind w:left="360" w:hanging="360"/>
        <w:rPr>
          <w:rFonts w:ascii="Arial Narrow" w:hAnsi="Arial Narrow"/>
          <w:b/>
          <w:lang w:val="en-CA"/>
        </w:rPr>
      </w:pPr>
    </w:p>
    <w:p w14:paraId="63276FAF" w14:textId="77777777" w:rsidR="00B27953" w:rsidRPr="00B27953" w:rsidRDefault="00B27953" w:rsidP="00B27953">
      <w:pPr>
        <w:tabs>
          <w:tab w:val="left" w:pos="360"/>
        </w:tabs>
        <w:ind w:left="360" w:hanging="360"/>
        <w:rPr>
          <w:rFonts w:ascii="Arial Narrow" w:hAnsi="Arial Narrow"/>
          <w:b/>
          <w:lang w:val="en-CA"/>
        </w:rPr>
      </w:pPr>
    </w:p>
    <w:p w14:paraId="0FD2A21C" w14:textId="6D11DDFE" w:rsidR="00B27953" w:rsidRPr="0029147D" w:rsidRDefault="00B27953" w:rsidP="0029147D">
      <w:pPr>
        <w:tabs>
          <w:tab w:val="left" w:pos="360"/>
        </w:tabs>
        <w:ind w:left="360" w:hanging="360"/>
        <w:rPr>
          <w:rFonts w:ascii="Arial Narrow" w:hAnsi="Arial Narrow"/>
          <w:b/>
          <w:lang w:val="en-CA"/>
        </w:rPr>
      </w:pPr>
      <w:r w:rsidRPr="00B27953">
        <w:rPr>
          <w:rFonts w:ascii="Arial Narrow" w:hAnsi="Arial Narrow"/>
          <w:b/>
          <w:lang w:val="en-CA"/>
        </w:rPr>
        <w:t>Related Documents:</w:t>
      </w:r>
      <w:r w:rsidR="0029147D">
        <w:rPr>
          <w:rFonts w:ascii="Arial Narrow" w:hAnsi="Arial Narrow"/>
          <w:b/>
          <w:lang w:val="en-CA"/>
        </w:rPr>
        <w:br/>
      </w:r>
      <w:r w:rsidR="0029147D">
        <w:rPr>
          <w:rFonts w:ascii="Arial Narrow" w:hAnsi="Arial Narrow"/>
          <w:sz w:val="20"/>
          <w:szCs w:val="20"/>
          <w:lang w:val="en-CA"/>
        </w:rPr>
        <w:t>Casselman</w:t>
      </w:r>
      <w:r w:rsidRPr="00B27953">
        <w:rPr>
          <w:rFonts w:ascii="Arial Narrow" w:hAnsi="Arial Narrow"/>
          <w:sz w:val="20"/>
          <w:szCs w:val="20"/>
          <w:lang w:val="en-CA"/>
        </w:rPr>
        <w:t xml:space="preserve"> Public Library </w:t>
      </w:r>
      <w:r w:rsidRPr="00B27953">
        <w:rPr>
          <w:rFonts w:ascii="Arial Narrow" w:hAnsi="Arial Narrow"/>
          <w:b/>
          <w:i/>
          <w:sz w:val="20"/>
          <w:szCs w:val="20"/>
          <w:lang w:val="en-CA"/>
        </w:rPr>
        <w:t>OP-0</w:t>
      </w:r>
      <w:r w:rsidR="0029147D">
        <w:rPr>
          <w:rFonts w:ascii="Arial Narrow" w:hAnsi="Arial Narrow"/>
          <w:b/>
          <w:i/>
          <w:sz w:val="20"/>
          <w:szCs w:val="20"/>
          <w:lang w:val="en-CA"/>
        </w:rPr>
        <w:t>8</w:t>
      </w:r>
      <w:r w:rsidRPr="00B27953">
        <w:rPr>
          <w:rFonts w:ascii="Arial Narrow" w:hAnsi="Arial Narrow"/>
          <w:b/>
          <w:i/>
          <w:sz w:val="20"/>
          <w:szCs w:val="20"/>
          <w:lang w:val="en-CA"/>
        </w:rPr>
        <w:t xml:space="preserve"> Collection Development Policy</w:t>
      </w:r>
      <w:r w:rsidRPr="00B27953">
        <w:rPr>
          <w:rFonts w:ascii="Arial Narrow" w:hAnsi="Arial Narrow"/>
          <w:sz w:val="20"/>
          <w:szCs w:val="20"/>
          <w:lang w:val="en-CA"/>
        </w:rPr>
        <w:t xml:space="preserve"> </w:t>
      </w:r>
    </w:p>
    <w:p w14:paraId="529354D8" w14:textId="77777777" w:rsidR="00B27953" w:rsidRPr="00B27953" w:rsidRDefault="00B27953" w:rsidP="00B27953">
      <w:pPr>
        <w:pBdr>
          <w:bottom w:val="single" w:sz="4" w:space="1" w:color="auto"/>
        </w:pBdr>
        <w:tabs>
          <w:tab w:val="left" w:pos="1080"/>
        </w:tabs>
        <w:rPr>
          <w:rFonts w:ascii="Arial Narrow" w:hAnsi="Arial Narrow"/>
          <w:sz w:val="20"/>
          <w:szCs w:val="20"/>
          <w:lang w:val="en-CA"/>
        </w:rPr>
      </w:pPr>
    </w:p>
    <w:p w14:paraId="792ABB41" w14:textId="77777777" w:rsidR="00B27953" w:rsidRPr="00B27953" w:rsidRDefault="00B27953" w:rsidP="00B27953">
      <w:pPr>
        <w:tabs>
          <w:tab w:val="left" w:pos="1080"/>
        </w:tabs>
        <w:rPr>
          <w:rFonts w:ascii="Arial Narrow" w:hAnsi="Arial Narrow"/>
          <w:b/>
          <w:lang w:val="en-CA"/>
        </w:rPr>
      </w:pPr>
      <w:bookmarkStart w:id="0" w:name="_Hlk25764848"/>
    </w:p>
    <w:p w14:paraId="7A92ECE5" w14:textId="617E52BB" w:rsidR="00B27953" w:rsidRPr="0029147D" w:rsidRDefault="00B27953" w:rsidP="00B27953">
      <w:pPr>
        <w:tabs>
          <w:tab w:val="left" w:pos="1080"/>
        </w:tabs>
        <w:rPr>
          <w:rFonts w:ascii="Arial Narrow" w:hAnsi="Arial Narrow"/>
          <w:b/>
          <w:lang w:val="en-CA"/>
        </w:rPr>
      </w:pPr>
      <w:r w:rsidRPr="00B27953">
        <w:rPr>
          <w:rFonts w:ascii="Arial Narrow" w:hAnsi="Arial Narrow"/>
          <w:b/>
          <w:lang w:val="en-CA"/>
        </w:rPr>
        <w:t>Appendix A: Donor Bill of Rights</w:t>
      </w:r>
    </w:p>
    <w:p w14:paraId="4B346A13" w14:textId="4638BAB5" w:rsidR="00B27953" w:rsidRPr="0029147D" w:rsidRDefault="00B27953" w:rsidP="0029147D">
      <w:pPr>
        <w:shd w:val="clear" w:color="auto" w:fill="FFFFFF"/>
        <w:outlineLvl w:val="2"/>
        <w:rPr>
          <w:rFonts w:ascii="Arial Narrow" w:hAnsi="Arial Narrow" w:cs="Arial"/>
          <w:b/>
          <w:color w:val="000000" w:themeColor="text1"/>
          <w:spacing w:val="5"/>
          <w:sz w:val="20"/>
          <w:szCs w:val="20"/>
          <w:lang w:val="en-CA"/>
        </w:rPr>
      </w:pPr>
      <w:r w:rsidRPr="00B27953">
        <w:rPr>
          <w:rFonts w:ascii="Arial Narrow" w:hAnsi="Arial Narrow" w:cs="Arial"/>
          <w:b/>
          <w:color w:val="000000" w:themeColor="text1"/>
          <w:spacing w:val="5"/>
          <w:sz w:val="20"/>
          <w:szCs w:val="20"/>
          <w:lang w:val="en-CA"/>
        </w:rPr>
        <w:t>Donor Bill of Rights</w:t>
      </w:r>
    </w:p>
    <w:p w14:paraId="34D64347" w14:textId="77777777" w:rsidR="00B27953" w:rsidRPr="00B27953" w:rsidRDefault="00B27953" w:rsidP="00B27953">
      <w:pPr>
        <w:shd w:val="clear" w:color="auto" w:fill="FFFFFF"/>
        <w:rPr>
          <w:rFonts w:ascii="Arial Narrow" w:hAnsi="Arial Narrow" w:cs="Arial"/>
          <w:color w:val="000000" w:themeColor="text1"/>
          <w:spacing w:val="5"/>
          <w:sz w:val="20"/>
          <w:szCs w:val="20"/>
          <w:lang w:val="en-CA"/>
        </w:rPr>
      </w:pPr>
      <w:r w:rsidRPr="00B27953">
        <w:rPr>
          <w:rFonts w:ascii="Arial Narrow" w:hAnsi="Arial Narrow" w:cs="Arial"/>
          <w:sz w:val="20"/>
          <w:szCs w:val="20"/>
          <w:lang w:val="en-CA"/>
        </w:rPr>
        <w:t>To assure that philanthropy merits the respect and trust of the general public, and that donors and prospective donors can have full confidence in the library, we declare that all donors have these rights:</w:t>
      </w:r>
    </w:p>
    <w:p w14:paraId="1ADFD59C" w14:textId="77777777" w:rsidR="00B27953" w:rsidRPr="00B27953"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B27953">
        <w:rPr>
          <w:rFonts w:ascii="Arial Narrow" w:hAnsi="Arial Narrow" w:cs="Arial"/>
          <w:color w:val="000000" w:themeColor="text1"/>
          <w:spacing w:val="5"/>
          <w:sz w:val="20"/>
          <w:szCs w:val="20"/>
          <w:lang w:val="en-CA"/>
        </w:rPr>
        <w:t>To be informed of the library's mission, of the way the library intends to use donated resources, and of its capacity to use donations effectively for their intended purposes.</w:t>
      </w:r>
    </w:p>
    <w:p w14:paraId="18127AD8" w14:textId="77777777" w:rsidR="00B27953" w:rsidRPr="00B27953"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B27953">
        <w:rPr>
          <w:rFonts w:ascii="Arial Narrow" w:hAnsi="Arial Narrow" w:cs="Arial"/>
          <w:color w:val="000000" w:themeColor="text1"/>
          <w:spacing w:val="5"/>
          <w:sz w:val="20"/>
          <w:szCs w:val="20"/>
          <w:lang w:val="en-CA"/>
        </w:rPr>
        <w:t>To be informed of the identity of those serving on the library's governing board, and to expect the board to exercise prudent judgment in its stewardship responsibilities.</w:t>
      </w:r>
    </w:p>
    <w:p w14:paraId="17FF7AA7" w14:textId="77777777" w:rsidR="00B27953" w:rsidRPr="00B27953"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B27953">
        <w:rPr>
          <w:rFonts w:ascii="Arial Narrow" w:hAnsi="Arial Narrow" w:cs="Arial"/>
          <w:color w:val="000000" w:themeColor="text1"/>
          <w:spacing w:val="5"/>
          <w:sz w:val="20"/>
          <w:szCs w:val="20"/>
          <w:lang w:val="en-CA"/>
        </w:rPr>
        <w:t>To have access to the library's most recent financial statements.</w:t>
      </w:r>
    </w:p>
    <w:p w14:paraId="3F110567" w14:textId="77777777" w:rsidR="00B27953" w:rsidRPr="0029147D"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29147D">
        <w:rPr>
          <w:rFonts w:ascii="Arial Narrow" w:hAnsi="Arial Narrow" w:cs="Arial"/>
          <w:color w:val="000000" w:themeColor="text1"/>
          <w:spacing w:val="5"/>
          <w:sz w:val="20"/>
          <w:szCs w:val="20"/>
          <w:lang w:val="en-CA"/>
        </w:rPr>
        <w:t>To be assured their gifts will be used for the purposes for which they were given.</w:t>
      </w:r>
    </w:p>
    <w:p w14:paraId="0B0904C2" w14:textId="77777777" w:rsidR="00B27953" w:rsidRPr="0029147D"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29147D">
        <w:rPr>
          <w:rFonts w:ascii="Arial Narrow" w:hAnsi="Arial Narrow" w:cs="Arial"/>
          <w:color w:val="000000" w:themeColor="text1"/>
          <w:spacing w:val="5"/>
          <w:sz w:val="20"/>
          <w:szCs w:val="20"/>
          <w:lang w:val="en-CA"/>
        </w:rPr>
        <w:t>To receive appropriate acknowledgement and recognition.</w:t>
      </w:r>
    </w:p>
    <w:p w14:paraId="74082CC3" w14:textId="77777777" w:rsidR="00B27953" w:rsidRPr="0029147D"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29147D">
        <w:rPr>
          <w:rFonts w:ascii="Arial Narrow" w:hAnsi="Arial Narrow" w:cs="Arial"/>
          <w:color w:val="000000" w:themeColor="text1"/>
          <w:spacing w:val="5"/>
          <w:sz w:val="20"/>
          <w:szCs w:val="20"/>
          <w:lang w:val="en-CA"/>
        </w:rPr>
        <w:t>To be assured that information about their donation is handled with respect and with confidentiality to the extent provided by law.</w:t>
      </w:r>
    </w:p>
    <w:p w14:paraId="78AA2E12" w14:textId="77777777" w:rsidR="00B27953" w:rsidRPr="0029147D" w:rsidRDefault="00B27953" w:rsidP="00B27953">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29147D">
        <w:rPr>
          <w:rFonts w:ascii="Arial Narrow" w:hAnsi="Arial Narrow" w:cs="Arial"/>
          <w:color w:val="000000" w:themeColor="text1"/>
          <w:spacing w:val="5"/>
          <w:sz w:val="20"/>
          <w:szCs w:val="20"/>
          <w:lang w:val="en-CA"/>
        </w:rPr>
        <w:t>To have the opportunity for their names to be deleted from mailing lists that an organization may intend to share.</w:t>
      </w:r>
    </w:p>
    <w:p w14:paraId="10D86D9D" w14:textId="68C57841" w:rsidR="00B27953" w:rsidRPr="0029147D" w:rsidRDefault="00B27953" w:rsidP="0029147D">
      <w:pPr>
        <w:pStyle w:val="ListParagraph"/>
        <w:numPr>
          <w:ilvl w:val="0"/>
          <w:numId w:val="9"/>
        </w:numPr>
        <w:shd w:val="clear" w:color="auto" w:fill="FFFFFF"/>
        <w:spacing w:after="0" w:line="240" w:lineRule="auto"/>
        <w:ind w:left="720"/>
        <w:rPr>
          <w:rFonts w:ascii="Arial Narrow" w:hAnsi="Arial Narrow" w:cs="Arial"/>
          <w:color w:val="000000" w:themeColor="text1"/>
          <w:spacing w:val="5"/>
          <w:sz w:val="20"/>
          <w:szCs w:val="20"/>
          <w:lang w:val="en-CA"/>
        </w:rPr>
      </w:pPr>
      <w:r w:rsidRPr="0029147D">
        <w:rPr>
          <w:rFonts w:ascii="Arial Narrow" w:hAnsi="Arial Narrow" w:cs="Arial"/>
          <w:color w:val="000000" w:themeColor="text1"/>
          <w:spacing w:val="5"/>
          <w:sz w:val="20"/>
          <w:szCs w:val="20"/>
          <w:lang w:val="en-CA"/>
        </w:rPr>
        <w:t>To feel free to ask questions when making a donation and to receive prompt, truthful and forthright answers.</w:t>
      </w:r>
    </w:p>
    <w:p w14:paraId="59F1D6CE" w14:textId="77777777" w:rsidR="00B27953" w:rsidRPr="0029147D" w:rsidRDefault="00B27953" w:rsidP="00B27953">
      <w:pPr>
        <w:tabs>
          <w:tab w:val="left" w:pos="360"/>
        </w:tabs>
        <w:ind w:left="360" w:hanging="360"/>
        <w:rPr>
          <w:rFonts w:ascii="Arial Narrow" w:hAnsi="Arial Narrow"/>
          <w:color w:val="000000" w:themeColor="text1"/>
          <w:sz w:val="20"/>
          <w:szCs w:val="20"/>
          <w:lang w:val="en-CA"/>
        </w:rPr>
      </w:pPr>
    </w:p>
    <w:p w14:paraId="2DCA9493" w14:textId="77777777" w:rsidR="00B27953" w:rsidRPr="0029147D" w:rsidRDefault="00B27953" w:rsidP="00B27953">
      <w:pPr>
        <w:tabs>
          <w:tab w:val="left" w:pos="360"/>
        </w:tabs>
        <w:ind w:left="360" w:hanging="360"/>
        <w:rPr>
          <w:rFonts w:ascii="Arial Narrow" w:hAnsi="Arial Narrow"/>
          <w:color w:val="000000" w:themeColor="text1"/>
          <w:sz w:val="20"/>
          <w:szCs w:val="20"/>
          <w:lang w:val="en-CA"/>
        </w:rPr>
      </w:pPr>
      <w:r w:rsidRPr="0029147D">
        <w:rPr>
          <w:rFonts w:ascii="Arial Narrow" w:hAnsi="Arial Narrow"/>
          <w:color w:val="000000" w:themeColor="text1"/>
          <w:sz w:val="20"/>
          <w:szCs w:val="20"/>
          <w:lang w:val="en-CA"/>
        </w:rPr>
        <w:t xml:space="preserve">*Adapted from Association of Fundraising Professionals </w:t>
      </w:r>
      <w:r w:rsidRPr="0029147D">
        <w:rPr>
          <w:rFonts w:ascii="Arial Narrow" w:hAnsi="Arial Narrow"/>
          <w:i/>
          <w:color w:val="000000" w:themeColor="text1"/>
          <w:sz w:val="20"/>
          <w:szCs w:val="20"/>
          <w:lang w:val="en-CA"/>
        </w:rPr>
        <w:t>– Donor Bill of Rights</w:t>
      </w:r>
      <w:r w:rsidRPr="0029147D">
        <w:rPr>
          <w:rFonts w:ascii="Arial Narrow" w:hAnsi="Arial Narrow"/>
          <w:color w:val="000000" w:themeColor="text1"/>
          <w:sz w:val="20"/>
          <w:szCs w:val="20"/>
          <w:lang w:val="en-CA"/>
        </w:rPr>
        <w:t xml:space="preserve">.  To use the AFP Donor Bill of Rights, permission is required from AFP - see </w:t>
      </w:r>
      <w:hyperlink r:id="rId8" w:history="1">
        <w:r w:rsidRPr="0029147D">
          <w:rPr>
            <w:rStyle w:val="Hyperlink"/>
            <w:rFonts w:ascii="Arial Narrow" w:hAnsi="Arial Narrow"/>
            <w:color w:val="000000" w:themeColor="text1"/>
            <w:sz w:val="20"/>
            <w:szCs w:val="20"/>
            <w:lang w:val="en-CA"/>
          </w:rPr>
          <w:t>https://afpglobal.org/donor-bill-rights</w:t>
        </w:r>
      </w:hyperlink>
      <w:r w:rsidRPr="0029147D">
        <w:rPr>
          <w:rFonts w:ascii="Arial Narrow" w:hAnsi="Arial Narrow"/>
          <w:color w:val="000000" w:themeColor="text1"/>
          <w:sz w:val="20"/>
          <w:szCs w:val="20"/>
          <w:lang w:val="en-CA"/>
        </w:rPr>
        <w:t xml:space="preserve"> </w:t>
      </w:r>
    </w:p>
    <w:bookmarkEnd w:id="0"/>
    <w:p w14:paraId="1D36AAAF" w14:textId="308C82A0" w:rsidR="00F451FA" w:rsidRPr="0029147D" w:rsidRDefault="00F451FA" w:rsidP="00F451FA">
      <w:pPr>
        <w:rPr>
          <w:rFonts w:ascii="Arial Narrow" w:hAnsi="Arial Narrow" w:cs="Arial"/>
          <w:color w:val="000000"/>
          <w:sz w:val="20"/>
          <w:lang w:val="en-CA"/>
        </w:rPr>
      </w:pPr>
    </w:p>
    <w:sectPr w:rsidR="00F451FA" w:rsidRPr="0029147D"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A59"/>
    <w:multiLevelType w:val="hybridMultilevel"/>
    <w:tmpl w:val="EE7A5FA0"/>
    <w:lvl w:ilvl="0" w:tplc="80B071DC">
      <w:start w:val="1"/>
      <w:numFmt w:val="decimal"/>
      <w:lvlText w:val="%1."/>
      <w:lvlJc w:val="left"/>
      <w:pPr>
        <w:ind w:left="1080" w:hanging="360"/>
      </w:pPr>
      <w:rPr>
        <w:rFonts w:ascii="Arial Narrow" w:hAnsi="Arial Narrow"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27690"/>
    <w:multiLevelType w:val="hybridMultilevel"/>
    <w:tmpl w:val="C97054BE"/>
    <w:lvl w:ilvl="0" w:tplc="80B071DC">
      <w:start w:val="1"/>
      <w:numFmt w:val="decimal"/>
      <w:lvlText w:val="%1."/>
      <w:lvlJc w:val="left"/>
      <w:pPr>
        <w:ind w:left="1080" w:hanging="360"/>
      </w:pPr>
      <w:rPr>
        <w:rFonts w:ascii="Arial Narrow" w:hAnsi="Arial Narrow"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22C82"/>
    <w:multiLevelType w:val="hybridMultilevel"/>
    <w:tmpl w:val="C97054BE"/>
    <w:lvl w:ilvl="0" w:tplc="80B071DC">
      <w:start w:val="1"/>
      <w:numFmt w:val="decimal"/>
      <w:lvlText w:val="%1."/>
      <w:lvlJc w:val="left"/>
      <w:pPr>
        <w:ind w:left="1080" w:hanging="360"/>
      </w:pPr>
      <w:rPr>
        <w:rFonts w:ascii="Arial Narrow" w:hAnsi="Arial Narrow" w:hint="default"/>
        <w:b w:val="0"/>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B6836"/>
    <w:multiLevelType w:val="hybridMultilevel"/>
    <w:tmpl w:val="721AB3EA"/>
    <w:lvl w:ilvl="0" w:tplc="76840FF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BA1C529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065A5"/>
    <w:multiLevelType w:val="hybridMultilevel"/>
    <w:tmpl w:val="6C4AED5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546562D5"/>
    <w:multiLevelType w:val="hybridMultilevel"/>
    <w:tmpl w:val="17301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9B7BA5"/>
    <w:multiLevelType w:val="hybridMultilevel"/>
    <w:tmpl w:val="9E10526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C02061"/>
    <w:multiLevelType w:val="hybridMultilevel"/>
    <w:tmpl w:val="9E28DD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3"/>
  </w:num>
  <w:num w:numId="8">
    <w:abstractNumId w:val="8"/>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4711E"/>
    <w:rsid w:val="00152CC8"/>
    <w:rsid w:val="00157189"/>
    <w:rsid w:val="00162ED0"/>
    <w:rsid w:val="00185FD7"/>
    <w:rsid w:val="001A5AE6"/>
    <w:rsid w:val="001C06A8"/>
    <w:rsid w:val="001C2AA8"/>
    <w:rsid w:val="001E190F"/>
    <w:rsid w:val="001E7C4A"/>
    <w:rsid w:val="00226398"/>
    <w:rsid w:val="0023406D"/>
    <w:rsid w:val="00235DCE"/>
    <w:rsid w:val="00242493"/>
    <w:rsid w:val="00262ABB"/>
    <w:rsid w:val="00274585"/>
    <w:rsid w:val="00277AEE"/>
    <w:rsid w:val="0029147D"/>
    <w:rsid w:val="00296EED"/>
    <w:rsid w:val="002A12AB"/>
    <w:rsid w:val="002B2094"/>
    <w:rsid w:val="002B2D82"/>
    <w:rsid w:val="002B4816"/>
    <w:rsid w:val="002B4CA0"/>
    <w:rsid w:val="002C395E"/>
    <w:rsid w:val="002E5AC1"/>
    <w:rsid w:val="002E639F"/>
    <w:rsid w:val="00346CE4"/>
    <w:rsid w:val="003635F4"/>
    <w:rsid w:val="00364BED"/>
    <w:rsid w:val="00367E40"/>
    <w:rsid w:val="003906E4"/>
    <w:rsid w:val="003E63DF"/>
    <w:rsid w:val="003F43D2"/>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F1336"/>
    <w:rsid w:val="004F4F77"/>
    <w:rsid w:val="00500352"/>
    <w:rsid w:val="00505EDF"/>
    <w:rsid w:val="00516AA2"/>
    <w:rsid w:val="005223A8"/>
    <w:rsid w:val="00531288"/>
    <w:rsid w:val="00536206"/>
    <w:rsid w:val="00554200"/>
    <w:rsid w:val="005576A2"/>
    <w:rsid w:val="00561F67"/>
    <w:rsid w:val="00565A3C"/>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96C2C"/>
    <w:rsid w:val="007A552A"/>
    <w:rsid w:val="007B178F"/>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E29A1"/>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4F7A"/>
    <w:rsid w:val="009E6961"/>
    <w:rsid w:val="009E73F8"/>
    <w:rsid w:val="00A21C6F"/>
    <w:rsid w:val="00A26E1D"/>
    <w:rsid w:val="00A6520B"/>
    <w:rsid w:val="00A7608E"/>
    <w:rsid w:val="00A8450B"/>
    <w:rsid w:val="00AB56AE"/>
    <w:rsid w:val="00AD0C94"/>
    <w:rsid w:val="00AD1570"/>
    <w:rsid w:val="00B03294"/>
    <w:rsid w:val="00B157B3"/>
    <w:rsid w:val="00B26EB2"/>
    <w:rsid w:val="00B27953"/>
    <w:rsid w:val="00B30746"/>
    <w:rsid w:val="00B5560F"/>
    <w:rsid w:val="00B604F6"/>
    <w:rsid w:val="00B710F8"/>
    <w:rsid w:val="00B76D89"/>
    <w:rsid w:val="00B76DD7"/>
    <w:rsid w:val="00B91620"/>
    <w:rsid w:val="00BA6C18"/>
    <w:rsid w:val="00BA6CF8"/>
    <w:rsid w:val="00BB2536"/>
    <w:rsid w:val="00BB65F4"/>
    <w:rsid w:val="00BD660C"/>
    <w:rsid w:val="00BE16CB"/>
    <w:rsid w:val="00BE23FE"/>
    <w:rsid w:val="00C27BF8"/>
    <w:rsid w:val="00C40486"/>
    <w:rsid w:val="00C55928"/>
    <w:rsid w:val="00C90313"/>
    <w:rsid w:val="00CB0D71"/>
    <w:rsid w:val="00CB18DE"/>
    <w:rsid w:val="00CE1502"/>
    <w:rsid w:val="00CF069A"/>
    <w:rsid w:val="00CF324B"/>
    <w:rsid w:val="00CF7E13"/>
    <w:rsid w:val="00D038D4"/>
    <w:rsid w:val="00D274B9"/>
    <w:rsid w:val="00D3461C"/>
    <w:rsid w:val="00D63B3A"/>
    <w:rsid w:val="00D6650E"/>
    <w:rsid w:val="00D84D64"/>
    <w:rsid w:val="00D86C62"/>
    <w:rsid w:val="00D927A7"/>
    <w:rsid w:val="00DF01D0"/>
    <w:rsid w:val="00DF1D0F"/>
    <w:rsid w:val="00DF4B67"/>
    <w:rsid w:val="00E40A9D"/>
    <w:rsid w:val="00E4211E"/>
    <w:rsid w:val="00E50716"/>
    <w:rsid w:val="00E83285"/>
    <w:rsid w:val="00EC2167"/>
    <w:rsid w:val="00EE0AD0"/>
    <w:rsid w:val="00EE7BE1"/>
    <w:rsid w:val="00EF070F"/>
    <w:rsid w:val="00F036CC"/>
    <w:rsid w:val="00F10FBE"/>
    <w:rsid w:val="00F40A1D"/>
    <w:rsid w:val="00F451FA"/>
    <w:rsid w:val="00F705AA"/>
    <w:rsid w:val="00F8328E"/>
    <w:rsid w:val="00FB23CD"/>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pglobal.org/donor-bill-right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2021-04-16T14:55:00Z</cp:lastPrinted>
  <dcterms:created xsi:type="dcterms:W3CDTF">2021-05-18T19:12:00Z</dcterms:created>
  <dcterms:modified xsi:type="dcterms:W3CDTF">2021-05-18T19:12:00Z</dcterms:modified>
</cp:coreProperties>
</file>